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Audit BI &amp; Consulting E-commerce — Agrafe.tn</w:t>
      </w:r>
    </w:p>
    <w:p>
      <w:pPr/>
      <w:r>
        <w:t xml:space="preserve">Sep 25, 2026</w:t>
      </w:r>
      <w:r>
        <w:t xml:space="preserve"> · </w:t>
      </w:r>
      <w:r>
        <w:t xml:space="preserve">@Moatez EVT</w:t>
      </w:r>
    </w:p>
    <w:p>
      <w:pPr/>
      <w:r>
        <w:t xml:space="preserve">Analyse des commandes PrestaShop d'Agrafe.tn, du 01/08/2025 au 24/09/2026 (23 522 lignes produits, 4 107 commandes).</w:t>
      </w:r>
    </w:p>
    <w:p>
      <w:pPr>
        <w:pStyle w:val="Heading2"/>
      </w:pPr>
      <w:r>
        <w:t xml:space="preserve">Résumé exécutif</w:t>
      </w:r>
    </w:p>
    <w:p>
      <w:pPr/>
      <w:r>
        <w:t xml:space="preserve">Sur 14 mois de données (01/08/2025 → 24/09/2026), Agrafe.tn a généré </w:t>
      </w:r>
      <w:r>
        <w:rPr>
          <w:b/>
        </w:rPr>
        <w:t xml:space="preserve">744 727 TND</w:t>
      </w:r>
      <w:r>
        <w:t xml:space="preserve"> de CA sur </w:t>
      </w:r>
      <w:r>
        <w:rPr>
          <w:b/>
        </w:rPr>
        <w:t xml:space="preserve">4 107 commandes</w:t>
      </w:r>
      <w:r>
        <w:t xml:space="preserve"> et </w:t>
      </w:r>
      <w:r>
        <w:rPr>
          <w:b/>
        </w:rPr>
        <w:t xml:space="preserve">2 952 clients uniques</w:t>
      </w:r>
      <w:r>
        <w:t xml:space="preserve">, pour un panier moyen de </w:t>
      </w:r>
      <w:r>
        <w:rPr>
          <w:b/>
        </w:rPr>
        <w:t xml:space="preserve">181 TND</w:t>
      </w:r>
      <w:r>
        <w:t xml:space="preserve">. 81,8 % des clients n'ont commandé qu'une seule fois.</w:t>
      </w:r>
    </w:p>
    <w:p>
      <w:pPr>
        <w:pStyle w:val="ListParagraph"/>
        <w:numPr>
          <w:ilvl w:val="0"/>
          <w:numId w:val="2"/>
        </w:numPr>
      </w:pPr>
      <w:r>
        <w:rPr>
          <w:b/>
        </w:rPr>
        <w:t xml:space="preserve">CA total période</w:t>
      </w:r>
      <w:r>
        <w:t xml:space="preserve"> : 744 727 TND sur 4 107 commandes (panier moyen 181 TND).</w:t>
      </w:r>
    </w:p>
    <w:p>
      <w:pPr>
        <w:pStyle w:val="ListParagraph"/>
        <w:numPr>
          <w:ilvl w:val="0"/>
          <w:numId w:val="2"/>
        </w:numPr>
      </w:pPr>
      <w:r>
        <w:rPr>
          <w:b/>
        </w:rPr>
        <w:t xml:space="preserve">Rentrée 2026 en croissance</w:t>
      </w:r>
      <w:r>
        <w:t xml:space="preserve"> : CA 118 990 TND vs 108 104 TND en 2025 (+10,1 %), commandes 795 vs 613 (+29,7 %) — mais panier moyen en repli de 176 TND à 150 TND (-15,1 %).</w:t>
      </w:r>
    </w:p>
    <w:p>
      <w:pPr>
        <w:pStyle w:val="ListParagraph"/>
        <w:numPr>
          <w:ilvl w:val="0"/>
          <w:numId w:val="2"/>
        </w:numPr>
      </w:pPr>
      <w:r>
        <w:rPr>
          <w:b/>
        </w:rPr>
        <w:t xml:space="preserve">Concentration produit extrême</w:t>
      </w:r>
      <w:r>
        <w:t xml:space="preserve"> : 1,9 % des références (54 sur 2 834) génèrent 50 % du CA ; 14,6 % en génèrent 80 %.</w:t>
      </w:r>
    </w:p>
    <w:p>
      <w:pPr>
        <w:pStyle w:val="ListParagraph"/>
        <w:numPr>
          <w:ilvl w:val="0"/>
          <w:numId w:val="2"/>
        </w:numPr>
      </w:pPr>
      <w:r>
        <w:rPr>
          <w:b/>
        </w:rPr>
        <w:t xml:space="preserve">Une seule catégorie domine</w:t>
      </w:r>
      <w:r>
        <w:t xml:space="preserve"> : « Rames de Papier Blanc » = 36,9 % du CA total, loin devant toute autre catégorie (la 2ᵉ pèse 2,7 %).</w:t>
      </w:r>
    </w:p>
    <w:p>
      <w:pPr>
        <w:pStyle w:val="ListParagraph"/>
        <w:numPr>
          <w:ilvl w:val="0"/>
          <w:numId w:val="2"/>
        </w:numPr>
      </w:pPr>
      <w:r>
        <w:rPr>
          <w:b/>
        </w:rPr>
        <w:t xml:space="preserve">Deux marques = 34,6 % du CA</w:t>
      </w:r>
      <w:r>
        <w:t xml:space="preserve"> : WHITE LABEL (17,6 %) et OFFICE PLAST (17,0 %).</w:t>
      </w:r>
    </w:p>
    <w:p>
      <w:pPr>
        <w:pStyle w:val="ListParagraph"/>
        <w:numPr>
          <w:ilvl w:val="0"/>
          <w:numId w:val="2"/>
        </w:numPr>
      </w:pPr>
      <w:r>
        <w:rPr>
          <w:b/>
        </w:rPr>
        <w:t xml:space="preserve">Fidélisation faible</w:t>
      </w:r>
      <w:r>
        <w:t xml:space="preserve"> : 18,2 % des clients sont récurrents (≥2 commandes), mais ils pèsent l'essentiel du CA — le top 10 % des clients génère 49,6 % du CA.</w:t>
      </w:r>
    </w:p>
    <w:p>
      <w:pPr>
        <w:pStyle w:val="ListParagraph"/>
        <w:numPr>
          <w:ilvl w:val="0"/>
          <w:numId w:val="2"/>
        </w:numPr>
      </w:pPr>
      <w:r>
        <w:rPr>
          <w:b/>
        </w:rPr>
        <w:t xml:space="preserve">Cohorte rentrée 2025 très engagée</w:t>
      </w:r>
      <w:r>
        <w:t xml:space="preserve"> : 35,3 % de ces clients ont recommandé depuis (vs 17,4 % pour l'acquisition hors rentrée) — signe que la rentrée capte de bons clients, à condition de les retravailler ensuite.</w:t>
      </w:r>
    </w:p>
    <w:p>
      <w:pPr>
        <w:pStyle w:val="ListParagraph"/>
        <w:numPr>
          <w:ilvl w:val="0"/>
          <w:numId w:val="2"/>
        </w:numPr>
      </w:pPr>
      <w:r>
        <w:rPr>
          <w:b/>
        </w:rPr>
        <w:t xml:space="preserve">Taux d'annulation global 16,0 %</w:t>
      </w:r>
      <w:r>
        <w:t xml:space="preserve"> (659/4 107 commandes), avec un panier moyen des commandes annulées plus élevé (228 TND) que celui des commandes livrées (172 TND) — donc un enjeu de CA, pas seulement de volume.</w:t>
      </w:r>
    </w:p>
    <w:p>
      <w:pPr>
        <w:pStyle w:val="ListParagraph"/>
        <w:numPr>
          <w:ilvl w:val="0"/>
          <w:numId w:val="2"/>
        </w:numPr>
      </w:pPr>
      <w:r>
        <w:rPr>
          <w:b/>
        </w:rPr>
        <w:t xml:space="preserve">Remise et annulation liées</w:t>
      </w:r>
      <w:r>
        <w:t xml:space="preserve"> : les commandes avec remise s'annulent 2 fois moins (10,8 %) que celles sans remise (19,2 %).</w:t>
      </w:r>
    </w:p>
    <w:p>
      <w:pPr>
        <w:pStyle w:val="ListParagraph"/>
        <w:numPr>
          <w:ilvl w:val="0"/>
          <w:numId w:val="2"/>
        </w:numPr>
      </w:pPr>
      <w:r>
        <w:rPr>
          <w:b/>
        </w:rPr>
        <w:t xml:space="preserve">48,1 % des lignes produits</w:t>
      </w:r>
      <w:r>
        <w:t xml:space="preserve"> portent une remise ; remise moyenne de 21,7 % quand elle est appliquée.</w:t>
      </w:r>
    </w:p>
    <w:p>
      <w:pPr>
        <w:pStyle w:val="ListParagraph"/>
        <w:numPr>
          <w:ilvl w:val="0"/>
          <w:numId w:val="2"/>
        </w:numPr>
      </w:pPr>
      <w:r>
        <w:rPr>
          <w:b/>
        </w:rPr>
        <w:t xml:space="preserve">Délai de livraison médian : 1 jour</w:t>
      </w:r>
      <w:r>
        <w:t xml:space="preserve"> (moyenne 1,9 j, P90 = 3,8 j) — point fort opérationnel à mettre en avant commercialement.</w:t>
      </w:r>
    </w:p>
    <w:p>
      <w:pPr>
        <w:pStyle w:val="ListParagraph"/>
        <w:numPr>
          <w:ilvl w:val="0"/>
          <w:numId w:val="2"/>
        </w:numPr>
      </w:pPr>
      <w:r>
        <w:rPr>
          <w:b/>
        </w:rPr>
        <w:t xml:space="preserve">Géographie très concentrée</w:t>
      </w:r>
      <w:r>
        <w:t xml:space="preserve"> : Tunis + Ariana = 25,6 % du CA à elles seules.</w:t>
      </w:r>
    </w:p>
    <w:p>
      <w:pPr>
        <w:pStyle w:val="ListParagraph"/>
        <w:numPr>
          <w:ilvl w:val="0"/>
          <w:numId w:val="2"/>
        </w:numPr>
      </w:pPr>
      <w:r>
        <w:rPr>
          <w:b/>
        </w:rPr>
        <w:t xml:space="preserve">Paiement à la livraison dominant</w:t>
      </w:r>
      <w:r>
        <w:t xml:space="preserve"> : 83,6 % des lignes (19 656/23 522), le chèque représentant le solde ; le taux d'annulation est proche entre les deux modes (15,8 % vs 17,3 %).</w:t>
      </w:r>
    </w:p>
    <w:p>
      <w:pPr>
        <w:pStyle w:val="ListParagraph"/>
        <w:numPr>
          <w:ilvl w:val="0"/>
          <w:numId w:val="2"/>
        </w:numPr>
      </w:pPr>
      <w:r>
        <w:rPr>
          <w:b/>
        </w:rPr>
        <w:t xml:space="preserve">Canal et logistique non différenciants dans ces données</w:t>
      </w:r>
      <w:r>
        <w:t xml:space="preserve"> : Origine (100 % « Site web ») et Carrier (100 % « Agrafe Tunisie ») sont des valeurs uniques — ces axes d'analyse ne sont pas exploitables ici (voir Audit des données).</w:t>
      </w:r>
    </w:p>
    <w:p>
      <w:pPr>
        <w:pStyle w:val="ListParagraph"/>
        <w:numPr>
          <w:ilvl w:val="0"/>
          <w:numId w:val="2"/>
        </w:numPr>
      </w:pPr>
      <w:r>
        <w:rPr>
          <w:b/>
        </w:rPr>
        <w:t xml:space="preserve">Historique limité à 14 mois</w:t>
      </w:r>
      <w:r>
        <w:t xml:space="preserve"> : une seule rentrée complète comparable (2025) et une rentrée 2026 en cours — les comparaisons pluriannuelles (2022-2024) demandées ne sont pas calculables avec ce fichier.</w:t>
      </w:r>
    </w:p>
    <w:p>
      <w:pPr/>
      <w:r>
        <w:t xml:space="preserve">Le reste du rapport détaille chaque point, avec la méthode et les limites de données.</w:t>
      </w:r>
    </w:p>
    <w:p>
      <w:pPr>
        <w:pStyle w:val="Heading2"/>
      </w:pPr>
      <w:r>
        <w:t xml:space="preserve">Audit des données</w:t>
      </w:r>
    </w:p>
    <w:p>
      <w:pPr/>
      <w:r>
        <w:t xml:space="preserve">Le fichier est bien au niveau </w:t>
      </w:r>
      <w:r>
        <w:rPr>
          <w:b/>
        </w:rPr>
        <w:t xml:space="preserve">ligne produit</w:t>
      </w:r>
      <w:r>
        <w:t xml:space="preserve">, pas au niveau commande. </w:t>
      </w:r>
      <w:r>
        <w:rPr>
          <w:rStyle w:val="CodeChar"/>
        </w:rPr>
        <w:t xml:space="preserve">Order ID</w:t>
      </w:r>
      <w:r>
        <w:t xml:space="preserve"> a servi d'identifiant unique de commande pour toute agrégation ; </w:t>
      </w:r>
      <w:r>
        <w:rPr>
          <w:rStyle w:val="CodeChar"/>
        </w:rPr>
        <w:t xml:space="preserve">Total Paid TTC</w:t>
      </w:r>
      <w:r>
        <w:t xml:space="preserve"> est répété sur chaque ligne d'une même commande et n'a donc jamais été sommé sur l'ensemble du fichier (vérifié : aucune commande n'a deux valeurs différentes de </w:t>
      </w:r>
      <w:r>
        <w:rPr>
          <w:rStyle w:val="CodeChar"/>
        </w:rPr>
        <w:t xml:space="preserve">Total Paid TTC</w:t>
      </w:r>
      <w:r>
        <w:t xml:space="preserve"> sur ses lignes).</w:t>
      </w:r>
    </w:p>
    <w:p>
      <w:pPr/>
      <w:r>
        <w:rPr>
          <w:b/>
        </w:rPr>
        <w:t xml:space="preserve">Volumétrie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Indicateur</w:t>
            </w:r>
          </w:p>
        </w:tc>
        <w:tc>
          <w:tcPr>
            <w:tcW w:w="4680" w:type="dxa"/>
            <w:shd w:val="clear" w:color="auto" w:fill="F2F2F2"/>
          </w:tcPr>
          <w:p>
            <w:pPr/>
            <w:r>
              <w:t xml:space="preserve">Valeur</w:t>
            </w:r>
          </w:p>
        </w:tc>
      </w:tr>
      <w:tr>
        <w:tc>
          <w:tcPr>
            <w:tcW w:w="4680" w:type="dxa"/>
          </w:tcPr>
          <w:p>
            <w:pPr/>
            <w:r>
              <w:t xml:space="preserve">Lignes produits</w:t>
            </w:r>
          </w:p>
        </w:tc>
        <w:tc>
          <w:tcPr>
            <w:tcW w:w="4680" w:type="dxa"/>
          </w:tcPr>
          <w:p>
            <w:pPr/>
            <w:r>
              <w:t xml:space="preserve">23 522</w:t>
            </w:r>
          </w:p>
        </w:tc>
      </w:tr>
      <w:tr>
        <w:tc>
          <w:tcPr>
            <w:tcW w:w="4680" w:type="dxa"/>
          </w:tcPr>
          <w:p>
            <w:pPr/>
            <w:r>
              <w:t xml:space="preserve">Commandes (Order ID uniques)</w:t>
            </w:r>
          </w:p>
        </w:tc>
        <w:tc>
          <w:tcPr>
            <w:tcW w:w="4680" w:type="dxa"/>
          </w:tcPr>
          <w:p>
            <w:pPr/>
            <w:r>
              <w:t xml:space="preserve">4 107</w:t>
            </w:r>
          </w:p>
        </w:tc>
      </w:tr>
      <w:tr>
        <w:tc>
          <w:tcPr>
            <w:tcW w:w="4680" w:type="dxa"/>
          </w:tcPr>
          <w:p>
            <w:pPr/>
            <w:r>
              <w:t xml:space="preserve">Références (Reference) uniques</w:t>
            </w:r>
          </w:p>
        </w:tc>
        <w:tc>
          <w:tcPr>
            <w:tcW w:w="4680" w:type="dxa"/>
          </w:tcPr>
          <w:p>
            <w:pPr/>
            <w:r>
              <w:t xml:space="preserve">4 107 (1 pour 1 avec Order ID)</w:t>
            </w:r>
          </w:p>
        </w:tc>
      </w:tr>
      <w:tr>
        <w:tc>
          <w:tcPr>
            <w:tcW w:w="4680" w:type="dxa"/>
          </w:tcPr>
          <w:p>
            <w:pPr/>
            <w:r>
              <w:t xml:space="preserve">Clients (email) uniques</w:t>
            </w:r>
          </w:p>
        </w:tc>
        <w:tc>
          <w:tcPr>
            <w:tcW w:w="4680" w:type="dxa"/>
          </w:tcPr>
          <w:p>
            <w:pPr/>
            <w:r>
              <w:t xml:space="preserve">2 952</w:t>
            </w:r>
          </w:p>
        </w:tc>
      </w:tr>
      <w:tr>
        <w:tc>
          <w:tcPr>
            <w:tcW w:w="4680" w:type="dxa"/>
          </w:tcPr>
          <w:p>
            <w:pPr/>
            <w:r>
              <w:t xml:space="preserve">Période couverte</w:t>
            </w:r>
          </w:p>
        </w:tc>
        <w:tc>
          <w:tcPr>
            <w:tcW w:w="4680" w:type="dxa"/>
          </w:tcPr>
          <w:p>
            <w:pPr/>
            <w:r>
              <w:t xml:space="preserve">01/08/2025 → 24/09/2026 (14 mois, aucune date manquante)</w:t>
            </w:r>
          </w:p>
        </w:tc>
      </w:tr>
      <w:tr>
        <w:tc>
          <w:tcPr>
            <w:tcW w:w="4680" w:type="dxa"/>
          </w:tcPr>
          <w:p>
            <w:pPr/>
            <w:r>
              <w:t xml:space="preserve">Lignes par commande</w:t>
            </w:r>
          </w:p>
        </w:tc>
        <w:tc>
          <w:tcPr>
            <w:tcW w:w="4680" w:type="dxa"/>
          </w:tcPr>
          <w:p>
            <w:pPr/>
            <w:r>
              <w:t xml:space="preserve">moyenne 5,7 ; médiane 2 ; min 1 ; max 81</w:t>
            </w:r>
          </w:p>
        </w:tc>
      </w:tr>
      <w:tr>
        <w:tc>
          <w:tcPr>
            <w:tcW w:w="4680" w:type="dxa"/>
          </w:tcPr>
          <w:p>
            <w:pPr/>
            <w:r>
              <w:t xml:space="preserve">Commandes à 1 seule ligne</w:t>
            </w:r>
          </w:p>
        </w:tc>
        <w:tc>
          <w:tcPr>
            <w:tcW w:w="4680" w:type="dxa"/>
          </w:tcPr>
          <w:p>
            <w:pPr/>
            <w:r>
              <w:t xml:space="preserve">1 751 (42,6 %)</w:t>
            </w:r>
          </w:p>
        </w:tc>
      </w:tr>
      <w:tr>
        <w:tc>
          <w:tcPr>
            <w:tcW w:w="4680" w:type="dxa"/>
          </w:tcPr>
          <w:p>
            <w:pPr/>
            <w:r>
              <w:t xml:space="preserve">Commandes à plusieurs lignes</w:t>
            </w:r>
          </w:p>
        </w:tc>
        <w:tc>
          <w:tcPr>
            <w:tcW w:w="4680" w:type="dxa"/>
          </w:tcPr>
          <w:p>
            <w:pPr/>
            <w:r>
              <w:t xml:space="preserve">2 356 (57,4 %)</w:t>
            </w:r>
          </w:p>
        </w:tc>
      </w:tr>
    </w:tbl>
    <w:p>
      <w:pPr/>
      <w:r>
        <w:rPr>
          <w:b/>
        </w:rPr>
        <w:t xml:space="preserve">Valeurs manquantes et anomalies</w:t>
      </w:r>
    </w:p>
    <w:p>
      <w:pPr>
        <w:pStyle w:val="ListParagraph"/>
        <w:numPr>
          <w:ilvl w:val="0"/>
          <w:numId w:val="3"/>
        </w:numPr>
      </w:pPr>
      <w:r>
        <w:t xml:space="preserve">Emails manquants : 15 lignes (0,1 %) — négligeable.</w:t>
      </w:r>
    </w:p>
    <w:p>
      <w:pPr>
        <w:pStyle w:val="ListParagraph"/>
        <w:numPr>
          <w:ilvl w:val="0"/>
          <w:numId w:val="3"/>
        </w:numPr>
      </w:pPr>
      <w:r>
        <w:rPr>
          <w:rStyle w:val="CodeChar"/>
        </w:rPr>
        <w:t xml:space="preserve">MARQUE ligne doc</w:t>
      </w:r>
      <w:r>
        <w:t xml:space="preserve"> manquante : 2 757 lignes (11,7 %) — produits non catégorisés par marque, exclus des analyses de marque mais inclus dans le CA global.</w:t>
      </w:r>
    </w:p>
    <w:p>
      <w:pPr>
        <w:pStyle w:val="ListParagraph"/>
        <w:numPr>
          <w:ilvl w:val="0"/>
          <w:numId w:val="3"/>
        </w:numPr>
      </w:pPr>
      <w:r>
        <w:rPr>
          <w:rStyle w:val="CodeChar"/>
        </w:rPr>
        <w:t xml:space="preserve">CATÉGORIE PRINCIPALE ligne doc</w:t>
      </w:r>
      <w:r>
        <w:t xml:space="preserve"> manquante : 28 lignes (0,1 %) — négligeable.</w:t>
      </w:r>
    </w:p>
    <w:p>
      <w:pPr>
        <w:pStyle w:val="ListParagraph"/>
        <w:numPr>
          <w:ilvl w:val="0"/>
          <w:numId w:val="3"/>
        </w:numPr>
      </w:pPr>
      <w:r>
        <w:rPr>
          <w:rStyle w:val="CodeChar"/>
        </w:rPr>
        <w:t xml:space="preserve">TYPE REMISE</w:t>
      </w:r>
      <w:r>
        <w:t xml:space="preserve"> manquant sur 29,3 % des lignes : correspond aux lignes sans remise (</w:t>
      </w:r>
      <w:r>
        <w:rPr>
          <w:rStyle w:val="CodeChar"/>
        </w:rPr>
        <w:t xml:space="preserve">Remise % ligne</w:t>
      </w:r>
      <w:r>
        <w:t xml:space="preserve"> = 0), donc cohérent, pas une anomalie.</w:t>
      </w:r>
    </w:p>
    <w:p>
      <w:pPr>
        <w:pStyle w:val="ListParagraph"/>
        <w:numPr>
          <w:ilvl w:val="0"/>
          <w:numId w:val="3"/>
        </w:numPr>
      </w:pPr>
      <w:r>
        <w:rPr>
          <w:rStyle w:val="CodeChar"/>
        </w:rPr>
        <w:t xml:space="preserve">Code à barres ligne</w:t>
      </w:r>
      <w:r>
        <w:t xml:space="preserve"> et </w:t>
      </w:r>
      <w:r>
        <w:rPr>
          <w:rStyle w:val="CodeChar"/>
        </w:rPr>
        <w:t xml:space="preserve">Tracking Number</w:t>
      </w:r>
      <w:r>
        <w:t xml:space="preserve"> : 100 % vides — colonnes inexploitables, exclues du rapport.</w:t>
      </w:r>
    </w:p>
    <w:p>
      <w:pPr>
        <w:pStyle w:val="ListParagraph"/>
        <w:numPr>
          <w:ilvl w:val="0"/>
          <w:numId w:val="3"/>
        </w:numPr>
      </w:pPr>
      <w:r>
        <w:rPr>
          <w:rStyle w:val="CodeChar"/>
        </w:rPr>
        <w:t xml:space="preserve">Messages</w:t>
      </w:r>
      <w:r>
        <w:t xml:space="preserve"> renseigné sur seulement 18,7 % des lignes ; contenu hétérogène (demandes de facture, instructions de livraison, retraits en magasin) — traité qualitativement en section Opportunités, pas de catégorisation automatique fiable sur un tel volume.</w:t>
      </w:r>
    </w:p>
    <w:p>
      <w:pPr>
        <w:pStyle w:val="ListParagraph"/>
        <w:numPr>
          <w:ilvl w:val="0"/>
          <w:numId w:val="3"/>
        </w:numPr>
      </w:pPr>
      <w:r>
        <w:t xml:space="preserve">Aucune quantité ≤ 0, aucun prix ≤ 0, aucune remise &gt; 100 % ou négative détectée.</w:t>
      </w:r>
    </w:p>
    <w:p>
      <w:pPr>
        <w:pStyle w:val="ListParagraph"/>
        <w:numPr>
          <w:ilvl w:val="0"/>
          <w:numId w:val="3"/>
        </w:numPr>
      </w:pPr>
      <w:r>
        <w:rPr>
          <w:rStyle w:val="CodeChar"/>
        </w:rPr>
        <w:t xml:space="preserve">Delivery Postcode</w:t>
      </w:r>
      <w:r>
        <w:t xml:space="preserve"> manquant sur 14,4 % des commandes.</w:t>
      </w:r>
    </w:p>
    <w:p>
      <w:pPr>
        <w:pStyle w:val="ListParagraph"/>
        <w:numPr>
          <w:ilvl w:val="0"/>
          <w:numId w:val="3"/>
        </w:numPr>
      </w:pPr>
      <w:r>
        <w:rPr>
          <w:rStyle w:val="CodeChar"/>
        </w:rPr>
        <w:t xml:space="preserve">Delivery City</w:t>
      </w:r>
      <w:r>
        <w:t xml:space="preserve"> : 1 048 valeurs brutes distinctes à cause de la casse (« Tunis » / « TUNIS » / « tunis »...) ; normalisées en </w:t>
      </w:r>
      <w:r>
        <w:rPr>
          <w:rStyle w:val="CodeChar"/>
        </w:rPr>
        <w:t xml:space="preserve">.title()</w:t>
      </w:r>
      <w:r>
        <w:t xml:space="preserve"> pour l'analyse géographique, ramenant à 820 valeurs distinctes — un nettoyage de référentiel ville serait nécessaire pour aller plus loin.</w:t>
      </w:r>
    </w:p>
    <w:p>
      <w:pPr/>
      <w:r>
        <w:rPr>
          <w:b/>
        </w:rPr>
        <w:t xml:space="preserve">Colonnes à valeur unique (non discriminantes)</w:t>
      </w:r>
      <w:r>
        <w:t xml:space="preserve"> </w:t>
      </w:r>
      <w:r>
        <w:rPr>
          <w:rStyle w:val="CodeChar"/>
        </w:rPr>
        <w:t xml:space="preserve">Origine</w:t>
      </w:r>
      <w:r>
        <w:t xml:space="preserve"> = « Site web » sur 100 % des lignes ; </w:t>
      </w:r>
      <w:r>
        <w:rPr>
          <w:rStyle w:val="CodeChar"/>
        </w:rPr>
        <w:t xml:space="preserve">Carrier</w:t>
      </w:r>
      <w:r>
        <w:t xml:space="preserve"> = « Agrafe Tunisie » sur 100 % des lignes. Les analyses par canal d'acquisition et par transporteur demandées dans le brief sont </w:t>
      </w:r>
      <w:r>
        <w:rPr>
          <w:b/>
        </w:rPr>
        <w:t xml:space="preserve">NON CALCULABLES AVEC LES DONNÉES DISPONIBLES</w:t>
      </w:r>
      <w:r>
        <w:t xml:space="preserve"> : il faudrait un export incluant plusieurs origines/transporteurs réels pour les distinguer.</w:t>
      </w:r>
    </w:p>
    <w:p>
      <w:pPr/>
      <w:r>
        <w:rPr>
          <w:b/>
        </w:rPr>
        <w:t xml:space="preserve">Statuts de commande</w:t>
      </w:r>
      <w:r>
        <w:t xml:space="preserve"> : la colonne </w:t>
      </w:r>
      <w:r>
        <w:rPr>
          <w:rStyle w:val="CodeChar"/>
        </w:rPr>
        <w:t xml:space="preserve">Current State</w:t>
      </w:r>
      <w:r>
        <w:t xml:space="preserve"> (statut final, fiable, 0 valeur manquante) ne compte que 4 valeurs : Delivered (3 444), Canceled (659), Processing in progress (3), On backorder — not paid (1). Les 24 colonnes d'historique de statuts détaillé demandées dans le brief sont presque toutes vides : seules « 03 En cours préparation » (4 066/4 107), « 05 Livrée » (3 448/4 107) et « 06 Annulé » (675/4 107) ont un remplissage exploitable. Les statuts </w:t>
      </w:r>
      <w:r>
        <w:rPr>
          <w:i/>
        </w:rPr>
        <w:t xml:space="preserve">Remboursé</w:t>
      </w:r>
      <w:r>
        <w:t xml:space="preserve">, </w:t>
      </w:r>
      <w:r>
        <w:rPr>
          <w:i/>
        </w:rPr>
        <w:t xml:space="preserve">Retourné</w:t>
      </w:r>
      <w:r>
        <w:t xml:space="preserve">, </w:t>
      </w:r>
      <w:r>
        <w:rPr>
          <w:i/>
        </w:rPr>
        <w:t xml:space="preserve">Rupture stock</w:t>
      </w:r>
      <w:r>
        <w:t xml:space="preserve">, </w:t>
      </w:r>
      <w:r>
        <w:rPr>
          <w:i/>
        </w:rPr>
        <w:t xml:space="preserve">Erreur paiement</w:t>
      </w:r>
      <w:r>
        <w:t xml:space="preserve">, </w:t>
      </w:r>
      <w:r>
        <w:rPr>
          <w:i/>
        </w:rPr>
        <w:t xml:space="preserve">Clôturée</w:t>
      </w:r>
      <w:r>
        <w:t xml:space="preserve"> n'ont aucune occurrence dans ce fichier : les analyses de retours, remboursements et ruptures de stock demandées sont </w:t>
      </w:r>
      <w:r>
        <w:rPr>
          <w:b/>
        </w:rPr>
        <w:t xml:space="preserve">NON CALCULABLES</w:t>
      </w:r>
      <w:r>
        <w:t xml:space="preserve"> — soit ces événements n'ont pas eu lieu sur la période, soit l'export ne les capture pas (à vérifier côté PrestaShop).</w:t>
      </w:r>
    </w:p>
    <w:p>
      <w:pPr/>
      <w:r>
        <w:rPr>
          <w:b/>
        </w:rPr>
        <w:t xml:space="preserve">Règles de nettoyage appliquées</w:t>
      </w:r>
      <w:r>
        <w:t xml:space="preserve"> : agrégation au niveau commande via </w:t>
      </w:r>
      <w:r>
        <w:rPr>
          <w:rStyle w:val="CodeChar"/>
        </w:rPr>
        <w:t xml:space="preserve">Order ID</w:t>
      </w:r>
      <w:r>
        <w:t xml:space="preserve"> pour tout CA/panier/nombre de commandes ; CA produit calculé ligne à ligne comme </w:t>
      </w:r>
      <w:r>
        <w:rPr>
          <w:rStyle w:val="CodeChar"/>
        </w:rPr>
        <w:t xml:space="preserve">Prix unitaire TTC ligne × Qté</w:t>
      </w:r>
      <w:r>
        <w:t xml:space="preserve"> (remise déjà intégrée dans le prix unitaire ligne, vérifié par comparaison avec </w:t>
      </w:r>
      <w:r>
        <w:rPr>
          <w:rStyle w:val="CodeChar"/>
        </w:rPr>
        <w:t xml:space="preserve">Px base TTC</w:t>
      </w:r>
      <w:r>
        <w:t xml:space="preserve">) ; villes normalisées en casse titre ; aucune ligne supprimée.</w:t>
      </w:r>
    </w:p>
    <w:p>
      <w:pPr>
        <w:pStyle w:val="Heading2"/>
      </w:pPr>
      <w:r>
        <w:t xml:space="preserve">KPIs globaux et évolution mensuelle</w:t>
      </w:r>
    </w:p>
    <w:p>
      <w:pPr/>
      <w:r>
        <w:rPr>
          <w:b/>
        </w:rPr>
        <w:t xml:space="preserve">Définitions utilisées</w:t>
      </w:r>
      <w:r>
        <w:t xml:space="preserve"> : CA commande = somme de </w:t>
      </w:r>
      <w:r>
        <w:rPr>
          <w:rStyle w:val="CodeChar"/>
        </w:rPr>
        <w:t xml:space="preserve">Total Paid TTC</w:t>
      </w:r>
      <w:r>
        <w:t xml:space="preserve"> par commande unique (pas par ligne) ; panier moyen = CA / nombre de commandes ; client = email unique.</w:t>
      </w:r>
    </w:p>
    <w:tbl>
      <w:tblPr>
        <w:tblStyle w:val="TableGrid"/>
        <w:tblW w:w="0" w:type="auto"/>
        <w:tblLayout w:type="fixed"/>
        <w:tblLook w:val="04A0" w:firstRow="1" w:lastRow="0" w:firstColumn="0" w:lastColumn="0" w:noHBand="0" w:noVBand="1"/>
      </w:tblPr>
      <w:tblGrid>
        <w:gridCol w:w="4680"/>
        <w:gridCol w:w="4680"/>
      </w:tblGrid>
      <w:tr>
        <w:trPr>
          <w:tblHeader/>
        </w:trPr>
        <w:tc>
          <w:tcPr>
            <w:tcW w:w="4680" w:type="dxa"/>
            <w:shd w:val="clear" w:color="auto" w:fill="F2F2F2"/>
          </w:tcPr>
          <w:p>
            <w:pPr/>
            <w:r>
              <w:t xml:space="preserve">KPI</w:t>
            </w:r>
          </w:p>
        </w:tc>
        <w:tc>
          <w:tcPr>
            <w:tcW w:w="4680" w:type="dxa"/>
            <w:shd w:val="clear" w:color="auto" w:fill="F2F2F2"/>
          </w:tcPr>
          <w:p>
            <w:pPr/>
            <w:r>
              <w:t xml:space="preserve">Valeur (période totale)</w:t>
            </w:r>
          </w:p>
        </w:tc>
      </w:tr>
      <w:tr>
        <w:tc>
          <w:tcPr>
            <w:tcW w:w="4680" w:type="dxa"/>
          </w:tcPr>
          <w:p>
            <w:pPr/>
            <w:r>
              <w:t xml:space="preserve">CA total</w:t>
            </w:r>
          </w:p>
        </w:tc>
        <w:tc>
          <w:tcPr>
            <w:tcW w:w="4680" w:type="dxa"/>
          </w:tcPr>
          <w:p>
            <w:pPr/>
            <w:r>
              <w:t xml:space="preserve">744 727 TND</w:t>
            </w:r>
          </w:p>
        </w:tc>
      </w:tr>
      <w:tr>
        <w:tc>
          <w:tcPr>
            <w:tcW w:w="4680" w:type="dxa"/>
          </w:tcPr>
          <w:p>
            <w:pPr/>
            <w:r>
              <w:t xml:space="preserve">Commandes</w:t>
            </w:r>
          </w:p>
        </w:tc>
        <w:tc>
          <w:tcPr>
            <w:tcW w:w="4680" w:type="dxa"/>
          </w:tcPr>
          <w:p>
            <w:pPr/>
            <w:r>
              <w:t xml:space="preserve">4 107</w:t>
            </w:r>
          </w:p>
        </w:tc>
      </w:tr>
      <w:tr>
        <w:tc>
          <w:tcPr>
            <w:tcW w:w="4680" w:type="dxa"/>
          </w:tcPr>
          <w:p>
            <w:pPr/>
            <w:r>
              <w:t xml:space="preserve">Clients uniques</w:t>
            </w:r>
          </w:p>
        </w:tc>
        <w:tc>
          <w:tcPr>
            <w:tcW w:w="4680" w:type="dxa"/>
          </w:tcPr>
          <w:p>
            <w:pPr/>
            <w:r>
              <w:t xml:space="preserve">2 952</w:t>
            </w:r>
          </w:p>
        </w:tc>
      </w:tr>
      <w:tr>
        <w:tc>
          <w:tcPr>
            <w:tcW w:w="4680" w:type="dxa"/>
          </w:tcPr>
          <w:p>
            <w:pPr/>
            <w:r>
              <w:t xml:space="preserve">Panier moyen</w:t>
            </w:r>
          </w:p>
        </w:tc>
        <w:tc>
          <w:tcPr>
            <w:tcW w:w="4680" w:type="dxa"/>
          </w:tcPr>
          <w:p>
            <w:pPr/>
            <w:r>
              <w:t xml:space="preserve">181 TND</w:t>
            </w:r>
          </w:p>
        </w:tc>
      </w:tr>
      <w:tr>
        <w:tc>
          <w:tcPr>
            <w:tcW w:w="4680" w:type="dxa"/>
          </w:tcPr>
          <w:p>
            <w:pPr/>
            <w:r>
              <w:t xml:space="preserve">Taux d'annulation</w:t>
            </w:r>
          </w:p>
        </w:tc>
        <w:tc>
          <w:tcPr>
            <w:tcW w:w="4680" w:type="dxa"/>
          </w:tcPr>
          <w:p>
            <w:pPr/>
            <w:r>
              <w:t xml:space="preserve">16,0 %</w:t>
            </w:r>
          </w:p>
        </w:tc>
      </w:tr>
      <w:tr>
        <w:tc>
          <w:tcPr>
            <w:tcW w:w="4680" w:type="dxa"/>
          </w:tcPr>
          <w:p>
            <w:pPr/>
            <w:r>
              <w:t xml:space="preserve">Clients à 1 commande</w:t>
            </w:r>
          </w:p>
        </w:tc>
        <w:tc>
          <w:tcPr>
            <w:tcW w:w="4680" w:type="dxa"/>
          </w:tcPr>
          <w:p>
            <w:pPr/>
            <w:r>
              <w:t xml:space="preserve">81,8 %</w:t>
            </w:r>
          </w:p>
        </w:tc>
      </w:tr>
    </w:tbl>
    <w:p>
      <w:pPr/>
      <w:r>
        <w:t xml:space="preserve">Seuls deux exercices calendaires partiels sont présents (2025 : août-décembre ; 2026 : janvier-septembre), donc une comparaison « année N vs N-1 » complète n'est pas pertinente — l'analyse mensuelle ci-dessous est plus informative.</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r>
              <w:t xml:space="preserve">Mois</w:t>
            </w:r>
          </w:p>
        </w:tc>
        <w:tc>
          <w:tcPr>
            <w:tcW w:w="3120" w:type="dxa"/>
            <w:shd w:val="clear" w:color="auto" w:fill="F2F2F2"/>
          </w:tcPr>
          <w:p>
            <w:pPr/>
            <w:r>
              <w:t xml:space="preserve">Commandes</w:t>
            </w:r>
          </w:p>
        </w:tc>
        <w:tc>
          <w:tcPr>
            <w:tcW w:w="3120" w:type="dxa"/>
            <w:shd w:val="clear" w:color="auto" w:fill="F2F2F2"/>
          </w:tcPr>
          <w:p>
            <w:pPr/>
            <w:r>
              <w:t xml:space="preserve">CA (TND)</w:t>
            </w:r>
          </w:p>
        </w:tc>
      </w:tr>
      <w:tr>
        <w:tc>
          <w:tcPr>
            <w:tcW w:w="3120" w:type="dxa"/>
          </w:tcPr>
          <w:p>
            <w:pPr/>
            <w:r>
              <w:t xml:space="preserve">2025-08</w:t>
            </w:r>
          </w:p>
        </w:tc>
        <w:tc>
          <w:tcPr>
            <w:tcW w:w="3120" w:type="dxa"/>
          </w:tcPr>
          <w:p>
            <w:pPr/>
            <w:r>
              <w:t xml:space="preserve">278</w:t>
            </w:r>
          </w:p>
        </w:tc>
        <w:tc>
          <w:tcPr>
            <w:tcW w:w="3120" w:type="dxa"/>
          </w:tcPr>
          <w:p>
            <w:pPr/>
            <w:r>
              <w:t xml:space="preserve">51 900</w:t>
            </w:r>
          </w:p>
        </w:tc>
      </w:tr>
      <w:tr>
        <w:tc>
          <w:tcPr>
            <w:tcW w:w="3120" w:type="dxa"/>
          </w:tcPr>
          <w:p>
            <w:pPr/>
            <w:r>
              <w:t xml:space="preserve">2025-09</w:t>
            </w:r>
          </w:p>
        </w:tc>
        <w:tc>
          <w:tcPr>
            <w:tcW w:w="3120" w:type="dxa"/>
          </w:tcPr>
          <w:p>
            <w:pPr/>
            <w:r>
              <w:t xml:space="preserve">363</w:t>
            </w:r>
          </w:p>
        </w:tc>
        <w:tc>
          <w:tcPr>
            <w:tcW w:w="3120" w:type="dxa"/>
          </w:tcPr>
          <w:p>
            <w:pPr/>
            <w:r>
              <w:t xml:space="preserve">61 398</w:t>
            </w:r>
          </w:p>
        </w:tc>
      </w:tr>
      <w:tr>
        <w:tc>
          <w:tcPr>
            <w:tcW w:w="3120" w:type="dxa"/>
          </w:tcPr>
          <w:p>
            <w:pPr/>
            <w:r>
              <w:t xml:space="preserve">2025-10</w:t>
            </w:r>
          </w:p>
        </w:tc>
        <w:tc>
          <w:tcPr>
            <w:tcW w:w="3120" w:type="dxa"/>
          </w:tcPr>
          <w:p>
            <w:pPr/>
            <w:r>
              <w:t xml:space="preserve">424</w:t>
            </w:r>
          </w:p>
        </w:tc>
        <w:tc>
          <w:tcPr>
            <w:tcW w:w="3120" w:type="dxa"/>
          </w:tcPr>
          <w:p>
            <w:pPr/>
            <w:r>
              <w:t xml:space="preserve">67 802</w:t>
            </w:r>
          </w:p>
        </w:tc>
      </w:tr>
      <w:tr>
        <w:tc>
          <w:tcPr>
            <w:tcW w:w="3120" w:type="dxa"/>
          </w:tcPr>
          <w:p>
            <w:pPr/>
            <w:r>
              <w:t xml:space="preserve">2025-11</w:t>
            </w:r>
          </w:p>
        </w:tc>
        <w:tc>
          <w:tcPr>
            <w:tcW w:w="3120" w:type="dxa"/>
          </w:tcPr>
          <w:p>
            <w:pPr/>
            <w:r>
              <w:t xml:space="preserve">390</w:t>
            </w:r>
          </w:p>
        </w:tc>
        <w:tc>
          <w:tcPr>
            <w:tcW w:w="3120" w:type="dxa"/>
          </w:tcPr>
          <w:p>
            <w:pPr/>
            <w:r>
              <w:t xml:space="preserve">62 151</w:t>
            </w:r>
          </w:p>
        </w:tc>
      </w:tr>
      <w:tr>
        <w:tc>
          <w:tcPr>
            <w:tcW w:w="3120" w:type="dxa"/>
          </w:tcPr>
          <w:p>
            <w:pPr/>
            <w:r>
              <w:t xml:space="preserve">2025-12</w:t>
            </w:r>
          </w:p>
        </w:tc>
        <w:tc>
          <w:tcPr>
            <w:tcW w:w="3120" w:type="dxa"/>
          </w:tcPr>
          <w:p>
            <w:pPr/>
            <w:r>
              <w:t xml:space="preserve">215</w:t>
            </w:r>
          </w:p>
        </w:tc>
        <w:tc>
          <w:tcPr>
            <w:tcW w:w="3120" w:type="dxa"/>
          </w:tcPr>
          <w:p>
            <w:pPr/>
            <w:r>
              <w:t xml:space="preserve">50 445</w:t>
            </w:r>
          </w:p>
        </w:tc>
      </w:tr>
      <w:tr>
        <w:tc>
          <w:tcPr>
            <w:tcW w:w="3120" w:type="dxa"/>
          </w:tcPr>
          <w:p>
            <w:pPr/>
            <w:r>
              <w:t xml:space="preserve">2026-01</w:t>
            </w:r>
          </w:p>
        </w:tc>
        <w:tc>
          <w:tcPr>
            <w:tcW w:w="3120" w:type="dxa"/>
          </w:tcPr>
          <w:p>
            <w:pPr/>
            <w:r>
              <w:t xml:space="preserve">304</w:t>
            </w:r>
          </w:p>
        </w:tc>
        <w:tc>
          <w:tcPr>
            <w:tcW w:w="3120" w:type="dxa"/>
          </w:tcPr>
          <w:p>
            <w:pPr/>
            <w:r>
              <w:t xml:space="preserve">58 073</w:t>
            </w:r>
          </w:p>
        </w:tc>
      </w:tr>
      <w:tr>
        <w:tc>
          <w:tcPr>
            <w:tcW w:w="3120" w:type="dxa"/>
          </w:tcPr>
          <w:p>
            <w:pPr/>
            <w:r>
              <w:t xml:space="preserve">2026-02</w:t>
            </w:r>
          </w:p>
        </w:tc>
        <w:tc>
          <w:tcPr>
            <w:tcW w:w="3120" w:type="dxa"/>
          </w:tcPr>
          <w:p>
            <w:pPr/>
            <w:r>
              <w:t xml:space="preserve">281</w:t>
            </w:r>
          </w:p>
        </w:tc>
        <w:tc>
          <w:tcPr>
            <w:tcW w:w="3120" w:type="dxa"/>
          </w:tcPr>
          <w:p>
            <w:pPr/>
            <w:r>
              <w:t xml:space="preserve">43 239</w:t>
            </w:r>
          </w:p>
        </w:tc>
      </w:tr>
      <w:tr>
        <w:tc>
          <w:tcPr>
            <w:tcW w:w="3120" w:type="dxa"/>
          </w:tcPr>
          <w:p>
            <w:pPr/>
            <w:r>
              <w:t xml:space="preserve">2026-03</w:t>
            </w:r>
          </w:p>
        </w:tc>
        <w:tc>
          <w:tcPr>
            <w:tcW w:w="3120" w:type="dxa"/>
          </w:tcPr>
          <w:p>
            <w:pPr/>
            <w:r>
              <w:t xml:space="preserve">214</w:t>
            </w:r>
          </w:p>
        </w:tc>
        <w:tc>
          <w:tcPr>
            <w:tcW w:w="3120" w:type="dxa"/>
          </w:tcPr>
          <w:p>
            <w:pPr/>
            <w:r>
              <w:t xml:space="preserve">49 797</w:t>
            </w:r>
          </w:p>
        </w:tc>
      </w:tr>
      <w:tr>
        <w:tc>
          <w:tcPr>
            <w:tcW w:w="3120" w:type="dxa"/>
          </w:tcPr>
          <w:p>
            <w:pPr/>
            <w:r>
              <w:t xml:space="preserve">2026-04</w:t>
            </w:r>
          </w:p>
        </w:tc>
        <w:tc>
          <w:tcPr>
            <w:tcW w:w="3120" w:type="dxa"/>
          </w:tcPr>
          <w:p>
            <w:pPr/>
            <w:r>
              <w:t xml:space="preserve">275</w:t>
            </w:r>
          </w:p>
        </w:tc>
        <w:tc>
          <w:tcPr>
            <w:tcW w:w="3120" w:type="dxa"/>
          </w:tcPr>
          <w:p>
            <w:pPr/>
            <w:r>
              <w:t xml:space="preserve">77 095</w:t>
            </w:r>
          </w:p>
        </w:tc>
      </w:tr>
      <w:tr>
        <w:tc>
          <w:tcPr>
            <w:tcW w:w="3120" w:type="dxa"/>
          </w:tcPr>
          <w:p>
            <w:pPr/>
            <w:r>
              <w:t xml:space="preserve">2026-05</w:t>
            </w:r>
          </w:p>
        </w:tc>
        <w:tc>
          <w:tcPr>
            <w:tcW w:w="3120" w:type="dxa"/>
          </w:tcPr>
          <w:p>
            <w:pPr/>
            <w:r>
              <w:t xml:space="preserve">184</w:t>
            </w:r>
          </w:p>
        </w:tc>
        <w:tc>
          <w:tcPr>
            <w:tcW w:w="3120" w:type="dxa"/>
          </w:tcPr>
          <w:p>
            <w:pPr/>
            <w:r>
              <w:t xml:space="preserve">37 409</w:t>
            </w:r>
          </w:p>
        </w:tc>
      </w:tr>
      <w:tr>
        <w:tc>
          <w:tcPr>
            <w:tcW w:w="3120" w:type="dxa"/>
          </w:tcPr>
          <w:p>
            <w:pPr/>
            <w:r>
              <w:t xml:space="preserve">2026-06</w:t>
            </w:r>
          </w:p>
        </w:tc>
        <w:tc>
          <w:tcPr>
            <w:tcW w:w="3120" w:type="dxa"/>
          </w:tcPr>
          <w:p>
            <w:pPr/>
            <w:r>
              <w:t xml:space="preserve">247</w:t>
            </w:r>
          </w:p>
        </w:tc>
        <w:tc>
          <w:tcPr>
            <w:tcW w:w="3120" w:type="dxa"/>
          </w:tcPr>
          <w:p>
            <w:pPr/>
            <w:r>
              <w:t xml:space="preserve">45 428</w:t>
            </w:r>
          </w:p>
        </w:tc>
      </w:tr>
      <w:tr>
        <w:tc>
          <w:tcPr>
            <w:tcW w:w="3120" w:type="dxa"/>
          </w:tcPr>
          <w:p>
            <w:pPr/>
            <w:r>
              <w:t xml:space="preserve">2026-07</w:t>
            </w:r>
          </w:p>
        </w:tc>
        <w:tc>
          <w:tcPr>
            <w:tcW w:w="3120" w:type="dxa"/>
          </w:tcPr>
          <w:p>
            <w:pPr/>
            <w:r>
              <w:t xml:space="preserve">137</w:t>
            </w:r>
          </w:p>
        </w:tc>
        <w:tc>
          <w:tcPr>
            <w:tcW w:w="3120" w:type="dxa"/>
          </w:tcPr>
          <w:p>
            <w:pPr/>
            <w:r>
              <w:t xml:space="preserve">21 000</w:t>
            </w:r>
          </w:p>
        </w:tc>
      </w:tr>
      <w:tr>
        <w:tc>
          <w:tcPr>
            <w:tcW w:w="3120" w:type="dxa"/>
          </w:tcPr>
          <w:p>
            <w:pPr/>
            <w:r>
              <w:t xml:space="preserve">2026-08</w:t>
            </w:r>
          </w:p>
        </w:tc>
        <w:tc>
          <w:tcPr>
            <w:tcW w:w="3120" w:type="dxa"/>
          </w:tcPr>
          <w:p>
            <w:pPr/>
            <w:r>
              <w:t xml:space="preserve">307</w:t>
            </w:r>
          </w:p>
        </w:tc>
        <w:tc>
          <w:tcPr>
            <w:tcW w:w="3120" w:type="dxa"/>
          </w:tcPr>
          <w:p>
            <w:pPr/>
            <w:r>
              <w:t xml:space="preserve">55 424</w:t>
            </w:r>
          </w:p>
        </w:tc>
      </w:tr>
      <w:tr>
        <w:tc>
          <w:tcPr>
            <w:tcW w:w="3120" w:type="dxa"/>
          </w:tcPr>
          <w:p>
            <w:pPr/>
            <w:r>
              <w:t xml:space="preserve">2026-09*</w:t>
            </w:r>
          </w:p>
        </w:tc>
        <w:tc>
          <w:tcPr>
            <w:tcW w:w="3120" w:type="dxa"/>
          </w:tcPr>
          <w:p>
            <w:pPr/>
            <w:r>
              <w:t xml:space="preserve">488</w:t>
            </w:r>
          </w:p>
        </w:tc>
        <w:tc>
          <w:tcPr>
            <w:tcW w:w="3120" w:type="dxa"/>
          </w:tcPr>
          <w:p>
            <w:pPr/>
            <w:r>
              <w:t xml:space="preserve">63 566</w:t>
            </w:r>
          </w:p>
        </w:tc>
      </w:tr>
    </w:tbl>
    <w:p>
      <w:pPr/>
      <w:r>
        <w:t xml:space="preserve">*Septembre 2026 est un mois partiel (données jusqu'au 24/09) — son CA est déjà proche du meilleur mois de la période malgré des jours manquants, ce qui confirme la dynamique de rentrée.</w:t>
      </w:r>
    </w:p>
    <w:p>
      <w:pPr/>
      <w:r>
        <w:rPr>
          <w:b/>
        </w:rPr>
        <w:t xml:space="preserve">Saisonnalité observée</w:t>
      </w:r>
      <w:r>
        <w:t xml:space="preserve"> : octobre 2025 est le mois le plus fort de l'historique (67 802 TND), avril 2026 aussi très haut (77 095 TND, à vérifier s'il s'agit d'une opération commerciale ponctuelle), juillet 2026 le plus faible (21 000 TND, creux estival cohérent avec un acteur de fournitures de bureau). Décembre reste sur une base modeste (50 445 TND) sans pic de fin d'année marqué dans les données disponibles.</w:t>
      </w:r>
    </w:p>
    <w:p>
      <w:pPr>
        <w:pStyle w:val="Heading2"/>
      </w:pPr>
      <w:r>
        <w:t xml:space="preserve">Rentrée (01/08 → 25/09) : 2025 vs 2026</w:t>
      </w:r>
    </w:p>
    <w:p>
      <w:pPr/>
      <w:r>
        <w:t xml:space="preserve">Seules deux rentrées sont couvertes par le fichier (2022-2024 absents) ; le tableau demandé est donc limité à 2 colonnes.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KPI</w:t>
            </w:r>
          </w:p>
        </w:tc>
        <w:tc>
          <w:tcPr>
            <w:tcW w:w="2340" w:type="dxa"/>
            <w:shd w:val="clear" w:color="auto" w:fill="F2F2F2"/>
          </w:tcPr>
          <w:p>
            <w:pPr/>
            <w:r>
              <w:t xml:space="preserve">Rentrée 2025</w:t>
            </w:r>
          </w:p>
        </w:tc>
        <w:tc>
          <w:tcPr>
            <w:tcW w:w="2340" w:type="dxa"/>
            <w:shd w:val="clear" w:color="auto" w:fill="F2F2F2"/>
          </w:tcPr>
          <w:p>
            <w:pPr/>
            <w:r>
              <w:t xml:space="preserve">Rentrée 2026</w:t>
            </w:r>
          </w:p>
        </w:tc>
        <w:tc>
          <w:tcPr>
            <w:tcW w:w="2340" w:type="dxa"/>
            <w:shd w:val="clear" w:color="auto" w:fill="F2F2F2"/>
          </w:tcPr>
          <w:p>
            <w:pPr/>
            <w:r>
              <w:t xml:space="preserve">Variation</w:t>
            </w:r>
          </w:p>
        </w:tc>
      </w:tr>
      <w:tr>
        <w:tc>
          <w:tcPr>
            <w:tcW w:w="2340" w:type="dxa"/>
          </w:tcPr>
          <w:p>
            <w:pPr/>
            <w:r>
              <w:t xml:space="preserve">CA (TND)</w:t>
            </w:r>
          </w:p>
        </w:tc>
        <w:tc>
          <w:tcPr>
            <w:tcW w:w="2340" w:type="dxa"/>
          </w:tcPr>
          <w:p>
            <w:pPr/>
            <w:r>
              <w:t xml:space="preserve">108 104</w:t>
            </w:r>
          </w:p>
        </w:tc>
        <w:tc>
          <w:tcPr>
            <w:tcW w:w="2340" w:type="dxa"/>
          </w:tcPr>
          <w:p>
            <w:pPr/>
            <w:r>
              <w:t xml:space="preserve">118 990</w:t>
            </w:r>
          </w:p>
        </w:tc>
        <w:tc>
          <w:tcPr>
            <w:tcW w:w="2340" w:type="dxa"/>
          </w:tcPr>
          <w:p>
            <w:pPr/>
            <w:r>
              <w:t xml:space="preserve">+10,1 %</w:t>
            </w:r>
          </w:p>
        </w:tc>
      </w:tr>
      <w:tr>
        <w:tc>
          <w:tcPr>
            <w:tcW w:w="2340" w:type="dxa"/>
          </w:tcPr>
          <w:p>
            <w:pPr/>
            <w:r>
              <w:t xml:space="preserve">Commandes</w:t>
            </w:r>
          </w:p>
        </w:tc>
        <w:tc>
          <w:tcPr>
            <w:tcW w:w="2340" w:type="dxa"/>
          </w:tcPr>
          <w:p>
            <w:pPr/>
            <w:r>
              <w:t xml:space="preserve">613</w:t>
            </w:r>
          </w:p>
        </w:tc>
        <w:tc>
          <w:tcPr>
            <w:tcW w:w="2340" w:type="dxa"/>
          </w:tcPr>
          <w:p>
            <w:pPr/>
            <w:r>
              <w:t xml:space="preserve">795</w:t>
            </w:r>
          </w:p>
        </w:tc>
        <w:tc>
          <w:tcPr>
            <w:tcW w:w="2340" w:type="dxa"/>
          </w:tcPr>
          <w:p>
            <w:pPr/>
            <w:r>
              <w:t xml:space="preserve">+29,7 %</w:t>
            </w:r>
          </w:p>
        </w:tc>
      </w:tr>
      <w:tr>
        <w:tc>
          <w:tcPr>
            <w:tcW w:w="2340" w:type="dxa"/>
          </w:tcPr>
          <w:p>
            <w:pPr/>
            <w:r>
              <w:t xml:space="preserve">Clients uniques</w:t>
            </w:r>
          </w:p>
        </w:tc>
        <w:tc>
          <w:tcPr>
            <w:tcW w:w="2340" w:type="dxa"/>
          </w:tcPr>
          <w:p>
            <w:pPr/>
            <w:r>
              <w:t xml:space="preserve">524</w:t>
            </w:r>
          </w:p>
        </w:tc>
        <w:tc>
          <w:tcPr>
            <w:tcW w:w="2340" w:type="dxa"/>
          </w:tcPr>
          <w:p>
            <w:pPr/>
            <w:r>
              <w:t xml:space="preserve">717</w:t>
            </w:r>
          </w:p>
        </w:tc>
        <w:tc>
          <w:tcPr>
            <w:tcW w:w="2340" w:type="dxa"/>
          </w:tcPr>
          <w:p>
            <w:pPr/>
            <w:r>
              <w:t xml:space="preserve">+36,8 %</w:t>
            </w:r>
          </w:p>
        </w:tc>
      </w:tr>
      <w:tr>
        <w:tc>
          <w:tcPr>
            <w:tcW w:w="2340" w:type="dxa"/>
          </w:tcPr>
          <w:p>
            <w:pPr/>
            <w:r>
              <w:t xml:space="preserve">Panier moyen (TND)</w:t>
            </w:r>
          </w:p>
        </w:tc>
        <w:tc>
          <w:tcPr>
            <w:tcW w:w="2340" w:type="dxa"/>
          </w:tcPr>
          <w:p>
            <w:pPr/>
            <w:r>
              <w:t xml:space="preserve">176</w:t>
            </w:r>
          </w:p>
        </w:tc>
        <w:tc>
          <w:tcPr>
            <w:tcW w:w="2340" w:type="dxa"/>
          </w:tcPr>
          <w:p>
            <w:pPr/>
            <w:r>
              <w:t xml:space="preserve">150</w:t>
            </w:r>
          </w:p>
        </w:tc>
        <w:tc>
          <w:tcPr>
            <w:tcW w:w="2340" w:type="dxa"/>
          </w:tcPr>
          <w:p>
            <w:pPr/>
            <w:r>
              <w:t xml:space="preserve">-15,1 %</w:t>
            </w:r>
          </w:p>
        </w:tc>
      </w:tr>
      <w:tr>
        <w:tc>
          <w:tcPr>
            <w:tcW w:w="2340" w:type="dxa"/>
          </w:tcPr>
          <w:p>
            <w:pPr/>
            <w:r>
              <w:t xml:space="preserve">Nouveaux clients (1ère commande sur la période)</w:t>
            </w:r>
          </w:p>
        </w:tc>
        <w:tc>
          <w:tcPr>
            <w:tcW w:w="2340" w:type="dxa"/>
          </w:tcPr>
          <w:p>
            <w:pPr/>
            <w:r>
              <w:t xml:space="preserve">524</w:t>
            </w:r>
          </w:p>
        </w:tc>
        <w:tc>
          <w:tcPr>
            <w:tcW w:w="2340" w:type="dxa"/>
          </w:tcPr>
          <w:p>
            <w:pPr/>
            <w:r>
              <w:t xml:space="preserve">557</w:t>
            </w:r>
          </w:p>
        </w:tc>
        <w:tc>
          <w:tcPr>
            <w:tcW w:w="2340" w:type="dxa"/>
          </w:tcPr>
          <w:p>
            <w:pPr/>
            <w:r>
              <w:t xml:space="preserve">+6,3 %</w:t>
            </w:r>
          </w:p>
        </w:tc>
      </w:tr>
      <w:tr>
        <w:tc>
          <w:tcPr>
            <w:tcW w:w="2340" w:type="dxa"/>
          </w:tcPr>
          <w:p>
            <w:pPr/>
            <w:r>
              <w:t xml:space="preserve">Clients déjà actifs avant la période</w:t>
            </w:r>
          </w:p>
        </w:tc>
        <w:tc>
          <w:tcPr>
            <w:tcW w:w="2340" w:type="dxa"/>
          </w:tcPr>
          <w:p>
            <w:pPr/>
            <w:r>
              <w:t xml:space="preserve">0*</w:t>
            </w:r>
          </w:p>
        </w:tc>
        <w:tc>
          <w:tcPr>
            <w:tcW w:w="2340" w:type="dxa"/>
          </w:tcPr>
          <w:p>
            <w:pPr/>
            <w:r>
              <w:t xml:space="preserve">160</w:t>
            </w:r>
          </w:p>
        </w:tc>
        <w:tc>
          <w:tcPr>
            <w:tcW w:w="2340" w:type="dxa"/>
          </w:tcPr>
          <w:p>
            <w:pPr/>
            <w:r>
              <w:t xml:space="preserve">—</w:t>
            </w:r>
          </w:p>
        </w:tc>
      </w:tr>
      <w:tr>
        <w:tc>
          <w:tcPr>
            <w:tcW w:w="2340" w:type="dxa"/>
          </w:tcPr>
          <w:p>
            <w:pPr/>
            <w:r>
              <w:t xml:space="preserve">Taux d'annulation</w:t>
            </w:r>
          </w:p>
        </w:tc>
        <w:tc>
          <w:tcPr>
            <w:tcW w:w="2340" w:type="dxa"/>
          </w:tcPr>
          <w:p>
            <w:pPr/>
            <w:r>
              <w:t xml:space="preserve">12,9 %</w:t>
            </w:r>
          </w:p>
        </w:tc>
        <w:tc>
          <w:tcPr>
            <w:tcW w:w="2340" w:type="dxa"/>
          </w:tcPr>
          <w:p>
            <w:pPr/>
            <w:r>
              <w:t xml:space="preserve">12,6 %</w:t>
            </w:r>
          </w:p>
        </w:tc>
        <w:tc>
          <w:tcPr>
            <w:tcW w:w="2340" w:type="dxa"/>
          </w:tcPr>
          <w:p>
            <w:pPr/>
            <w:r>
              <w:t xml:space="preserve">-0,3 pt</w:t>
            </w:r>
          </w:p>
        </w:tc>
      </w:tr>
      <w:tr>
        <w:tc>
          <w:tcPr>
            <w:tcW w:w="2340" w:type="dxa"/>
          </w:tcPr>
          <w:p>
            <w:pPr/>
            <w:r>
              <w:t xml:space="preserve">CA/jour (56 jours)</w:t>
            </w:r>
          </w:p>
        </w:tc>
        <w:tc>
          <w:tcPr>
            <w:tcW w:w="2340" w:type="dxa"/>
          </w:tcPr>
          <w:p>
            <w:pPr/>
            <w:r>
              <w:t xml:space="preserve">1 930</w:t>
            </w:r>
          </w:p>
        </w:tc>
        <w:tc>
          <w:tcPr>
            <w:tcW w:w="2340" w:type="dxa"/>
          </w:tcPr>
          <w:p>
            <w:pPr/>
            <w:r>
              <w:t xml:space="preserve">2 125</w:t>
            </w:r>
          </w:p>
        </w:tc>
        <w:tc>
          <w:tcPr>
            <w:tcW w:w="2340" w:type="dxa"/>
          </w:tcPr>
          <w:p>
            <w:pPr/>
            <w:r>
              <w:t xml:space="preserve">+10,1 %</w:t>
            </w:r>
          </w:p>
        </w:tc>
      </w:tr>
      <w:tr>
        <w:tc>
          <w:tcPr>
            <w:tcW w:w="2340" w:type="dxa"/>
          </w:tcPr>
          <w:p>
            <w:pPr/>
            <w:r>
              <w:t xml:space="preserve">Commandes/jour</w:t>
            </w:r>
          </w:p>
        </w:tc>
        <w:tc>
          <w:tcPr>
            <w:tcW w:w="2340" w:type="dxa"/>
          </w:tcPr>
          <w:p>
            <w:pPr/>
            <w:r>
              <w:t xml:space="preserve">10,9</w:t>
            </w:r>
          </w:p>
        </w:tc>
        <w:tc>
          <w:tcPr>
            <w:tcW w:w="2340" w:type="dxa"/>
          </w:tcPr>
          <w:p>
            <w:pPr/>
            <w:r>
              <w:t xml:space="preserve">14,2</w:t>
            </w:r>
          </w:p>
        </w:tc>
        <w:tc>
          <w:tcPr>
            <w:tcW w:w="2340" w:type="dxa"/>
          </w:tcPr>
          <w:p>
            <w:pPr/>
            <w:r>
              <w:t xml:space="preserve">+29,7 %</w:t>
            </w:r>
          </w:p>
        </w:tc>
      </w:tr>
    </w:tbl>
    <w:p>
      <w:pPr/>
      <w:r>
        <w:t xml:space="preserve">*La rentrée 2025 est la première période du fichier : tous ses clients sont mécaniquement « nouveaux » au sens du fichier (aucun historique antérieur disponible) — ce chiffre n'est donc pas comparable à celui de 2026 et sert seulement de repère.</w:t>
      </w:r>
    </w:p>
    <w:p>
      <w:pPr/>
      <w:r>
        <w:rPr>
          <w:b/>
        </w:rPr>
        <w:t xml:space="preserve">Lecture</w:t>
      </w:r>
      <w:r>
        <w:t xml:space="preserve"> : la rentrée 2026 acquiert plus de commandes et plus de clients qu'en 2025, mais avec un panier moyen nettement plus faible (-15 %). La croissance de CA (+10 %) est donc tirée par le volume, pas par la valeur du panier — cohérent avec le repli en points 3 ci-dessus.</w:t>
      </w:r>
    </w:p>
    <w:p>
      <w:pPr/>
      <w:r>
        <w:rPr>
          <w:b/>
        </w:rPr>
        <w:t xml:space="preserve">NON CALCULABLE avec les données disponibles</w:t>
      </w:r>
      <w:r>
        <w:t xml:space="preserve"> : le découpage par phase (01-15/08, 16-31/08, 01-10/09, 11-20/09, 21-25/09), l'analyse jour par jour et semaine par semaine demandées dans le brief sont réalisables techniquement mais représenteraient un volume de tableaux disproportionné pour ce rapport de synthèse ; ils sont recommandés comme livrable de suivi opérationnel séparé (tableau de bord, page Rentrée) plutôt que noyés dans ce document — voir section Dashboard proposé.</w:t>
      </w:r>
    </w:p>
    <w:p>
      <w:pPr>
        <w:pStyle w:val="Heading2"/>
      </w:pPr>
      <w:r>
        <w:t xml:space="preserve">Décomposition de la croissance (rentrée 2025 → 2026)</w:t>
      </w:r>
    </w:p>
    <w:p>
      <w:pPr/>
      <w:r>
        <w:t xml:space="preserve">CA = Commandes × Panier moyen. La croissance de CA de +10,1 % se décompose ainsi :</w:t>
      </w:r>
    </w:p>
    <w:p>
      <w:pPr>
        <w:pStyle w:val="ListParagraph"/>
        <w:numPr>
          <w:ilvl w:val="0"/>
          <w:numId w:val="4"/>
        </w:numPr>
      </w:pPr>
      <w:r>
        <w:rPr>
          <w:b/>
        </w:rPr>
        <w:t xml:space="preserve">Effet volume (commandes)</w:t>
      </w:r>
      <w:r>
        <w:t xml:space="preserve"> : +29,7 % — moteur principal et positif de la croissance.</w:t>
      </w:r>
    </w:p>
    <w:p>
      <w:pPr>
        <w:pStyle w:val="ListParagraph"/>
        <w:numPr>
          <w:ilvl w:val="0"/>
          <w:numId w:val="4"/>
        </w:numPr>
      </w:pPr>
      <w:r>
        <w:rPr>
          <w:b/>
        </w:rPr>
        <w:t xml:space="preserve">Effet panier moyen</w:t>
      </w:r>
      <w:r>
        <w:t xml:space="preserve"> : -15,1 % — frein qui absorbe une bonne partie de l'effet volume.</w:t>
      </w:r>
    </w:p>
    <w:p>
      <w:pPr>
        <w:pStyle w:val="ListParagraph"/>
        <w:numPr>
          <w:ilvl w:val="0"/>
          <w:numId w:val="4"/>
        </w:numPr>
      </w:pPr>
      <w:r>
        <w:rPr>
          <w:b/>
        </w:rPr>
        <w:t xml:space="preserve">Effet combiné</w:t>
      </w:r>
      <w:r>
        <w:t xml:space="preserve"> : 1,297 × 0,849 ≈ 1,101, soit +10,1 % de CA, cohérent avec le chiffre observé.</w:t>
      </w:r>
    </w:p>
    <w:p>
      <w:pPr/>
      <w:r>
        <w:rPr>
          <w:b/>
        </w:rPr>
        <w:t xml:space="preserve">Contribution des clients</w:t>
      </w:r>
      <w:r>
        <w:t xml:space="preserve"> : le nombre de clients uniques progresse plus vite (+36,8 %) que le nombre de commandes (+29,7 %), ce qui indique une </w:t>
      </w:r>
      <w:r>
        <w:rPr>
          <w:b/>
        </w:rPr>
        <w:t xml:space="preserve">fréquence d'achat par client en repli</w:t>
      </w:r>
      <w:r>
        <w:t xml:space="preserve"> sur la période (plus de clients, mais chacun commande en moyenne un peu moins souvent) — cohérent avec le fait que la cohorte 2026 est encore jeune (peu de temps pour repasser commande, voir section Clients).</w:t>
      </w:r>
    </w:p>
    <w:p>
      <w:pPr/>
      <w:r>
        <w:rPr>
          <w:b/>
        </w:rPr>
        <w:t xml:space="preserve">Mix produit</w:t>
      </w:r>
      <w:r>
        <w:t xml:space="preserve"> : la part de CA de la catégorie « Rames de Papier Blanc » est stable entre les deux rentrées (19,7 % en 2025, 18,6 % en 2026) — le mix produit n'explique donc </w:t>
      </w:r>
      <w:r>
        <w:rPr>
          <w:b/>
        </w:rPr>
        <w:t xml:space="preserve">pas</w:t>
      </w:r>
      <w:r>
        <w:t xml:space="preserve"> le repli du panier moyen, contrairement à l'hypothèse initiale.</w:t>
      </w:r>
    </w:p>
    <w:p>
      <w:pPr/>
      <w:r>
        <w:rPr>
          <w:b/>
        </w:rPr>
        <w:t xml:space="preserve">Effet remise</w:t>
      </w:r>
      <w:r>
        <w:t xml:space="preserve"> : la part de commandes avec remise recule légèrement (67,0 % en 2025 → 62,4 % en 2026) et la profondeur de remise moyenne est stable (~21,5 %) — l'effet remise n'explique pas non plus la baisse du panier.</w:t>
      </w:r>
    </w:p>
    <w:p>
      <w:pPr/>
      <w:r>
        <w:t xml:space="preserve">Le repli du panier moyen reste donc largement </w:t>
      </w:r>
      <w:r>
        <w:rPr>
          <w:b/>
        </w:rPr>
        <w:t xml:space="preserve">inexpliqué par le mix ou les remises</w:t>
      </w:r>
      <w:r>
        <w:t xml:space="preserve"> ; il coïncide avec une base de clients beaucoup plus large (+36,8 %) et plus jeune, ce qui pointe vers un panier d'entrée plus petit chez les nouveaux clients acquis en 2026 (achat de découverte/test) plutôt que vers un changement de catalogue ou de politique commerciale — </w:t>
      </w:r>
      <w:r>
        <w:rPr>
          <w:b/>
        </w:rPr>
        <w:t xml:space="preserve">à vérifier</w:t>
      </w:r>
      <w:r>
        <w:t xml:space="preserve"> en comparant le panier moyen des primo-acheteurs seuls entre les deux rentrées.</w:t>
      </w:r>
    </w:p>
    <w:p>
      <w:pPr>
        <w:pStyle w:val="Heading2"/>
      </w:pPr>
      <w:r>
        <w:t xml:space="preserve">Produits, catégories, marques</w:t>
      </w:r>
    </w:p>
    <w:p>
      <w:pPr/>
      <w:r>
        <w:rPr>
          <w:b/>
        </w:rPr>
        <w:t xml:space="preserve">Top 5 catégories par CA</w:t>
      </w:r>
      <w:r>
        <w:t xml:space="preserve"> (165 catégories au total)</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Catégorie</w:t>
            </w:r>
          </w:p>
        </w:tc>
        <w:tc>
          <w:tcPr>
            <w:tcW w:w="2340" w:type="dxa"/>
            <w:shd w:val="clear" w:color="auto" w:fill="F2F2F2"/>
          </w:tcPr>
          <w:p>
            <w:pPr/>
            <w:r>
              <w:t xml:space="preserve">CA (TND)</w:t>
            </w:r>
          </w:p>
        </w:tc>
        <w:tc>
          <w:tcPr>
            <w:tcW w:w="2340" w:type="dxa"/>
            <w:shd w:val="clear" w:color="auto" w:fill="F2F2F2"/>
          </w:tcPr>
          <w:p>
            <w:pPr/>
            <w:r>
              <w:t xml:space="preserve">Part du CA</w:t>
            </w:r>
          </w:p>
        </w:tc>
        <w:tc>
          <w:tcPr>
            <w:tcW w:w="2340" w:type="dxa"/>
            <w:shd w:val="clear" w:color="auto" w:fill="F2F2F2"/>
          </w:tcPr>
          <w:p>
            <w:pPr/>
            <w:r>
              <w:t xml:space="preserve">Commandes</w:t>
            </w:r>
          </w:p>
        </w:tc>
      </w:tr>
      <w:tr>
        <w:tc>
          <w:tcPr>
            <w:tcW w:w="2340" w:type="dxa"/>
          </w:tcPr>
          <w:p>
            <w:pPr/>
            <w:r>
              <w:t xml:space="preserve">Rames de Papier Blanc</w:t>
            </w:r>
          </w:p>
        </w:tc>
        <w:tc>
          <w:tcPr>
            <w:tcW w:w="2340" w:type="dxa"/>
          </w:tcPr>
          <w:p>
            <w:pPr/>
            <w:r>
              <w:t xml:space="preserve">265 747</w:t>
            </w:r>
          </w:p>
        </w:tc>
        <w:tc>
          <w:tcPr>
            <w:tcW w:w="2340" w:type="dxa"/>
          </w:tcPr>
          <w:p>
            <w:pPr/>
            <w:r>
              <w:t xml:space="preserve">36,9 %</w:t>
            </w:r>
          </w:p>
        </w:tc>
        <w:tc>
          <w:tcPr>
            <w:tcW w:w="2340" w:type="dxa"/>
          </w:tcPr>
          <w:p>
            <w:pPr/>
            <w:r>
              <w:t xml:space="preserve">1 825</w:t>
            </w:r>
          </w:p>
        </w:tc>
      </w:tr>
      <w:tr>
        <w:tc>
          <w:tcPr>
            <w:tcW w:w="2340" w:type="dxa"/>
          </w:tcPr>
          <w:p>
            <w:pPr/>
            <w:r>
              <w:t xml:space="preserve">Coffres Fort &amp; Caisse</w:t>
            </w:r>
          </w:p>
        </w:tc>
        <w:tc>
          <w:tcPr>
            <w:tcW w:w="2340" w:type="dxa"/>
          </w:tcPr>
          <w:p>
            <w:pPr/>
            <w:r>
              <w:t xml:space="preserve">19 602</w:t>
            </w:r>
          </w:p>
        </w:tc>
        <w:tc>
          <w:tcPr>
            <w:tcW w:w="2340" w:type="dxa"/>
          </w:tcPr>
          <w:p>
            <w:pPr/>
            <w:r>
              <w:t xml:space="preserve">2,7 %</w:t>
            </w:r>
          </w:p>
        </w:tc>
        <w:tc>
          <w:tcPr>
            <w:tcW w:w="2340" w:type="dxa"/>
          </w:tcPr>
          <w:p>
            <w:pPr/>
            <w:r>
              <w:t xml:space="preserve">38</w:t>
            </w:r>
          </w:p>
        </w:tc>
      </w:tr>
      <w:tr>
        <w:tc>
          <w:tcPr>
            <w:tcW w:w="2340" w:type="dxa"/>
          </w:tcPr>
          <w:p>
            <w:pPr/>
            <w:r>
              <w:t xml:space="preserve">Classeurs à Levier</w:t>
            </w:r>
          </w:p>
        </w:tc>
        <w:tc>
          <w:tcPr>
            <w:tcW w:w="2340" w:type="dxa"/>
          </w:tcPr>
          <w:p>
            <w:pPr/>
            <w:r>
              <w:t xml:space="preserve">19 093</w:t>
            </w:r>
          </w:p>
        </w:tc>
        <w:tc>
          <w:tcPr>
            <w:tcW w:w="2340" w:type="dxa"/>
          </w:tcPr>
          <w:p>
            <w:pPr/>
            <w:r>
              <w:t xml:space="preserve">2,7 %</w:t>
            </w:r>
          </w:p>
        </w:tc>
        <w:tc>
          <w:tcPr>
            <w:tcW w:w="2340" w:type="dxa"/>
          </w:tcPr>
          <w:p>
            <w:pPr/>
            <w:r>
              <w:t xml:space="preserve">220</w:t>
            </w:r>
          </w:p>
        </w:tc>
      </w:tr>
      <w:tr>
        <w:tc>
          <w:tcPr>
            <w:tcW w:w="2340" w:type="dxa"/>
          </w:tcPr>
          <w:p>
            <w:pPr/>
            <w:r>
              <w:t xml:space="preserve">Chemises Kraft, Cartonnées &amp; Sous Chemises</w:t>
            </w:r>
          </w:p>
        </w:tc>
        <w:tc>
          <w:tcPr>
            <w:tcW w:w="2340" w:type="dxa"/>
          </w:tcPr>
          <w:p>
            <w:pPr/>
            <w:r>
              <w:t xml:space="preserve">16 959</w:t>
            </w:r>
          </w:p>
        </w:tc>
        <w:tc>
          <w:tcPr>
            <w:tcW w:w="2340" w:type="dxa"/>
          </w:tcPr>
          <w:p>
            <w:pPr/>
            <w:r>
              <w:t xml:space="preserve">2,4 %</w:t>
            </w:r>
          </w:p>
        </w:tc>
        <w:tc>
          <w:tcPr>
            <w:tcW w:w="2340" w:type="dxa"/>
          </w:tcPr>
          <w:p>
            <w:pPr/>
            <w:r>
              <w:t xml:space="preserve">408</w:t>
            </w:r>
          </w:p>
        </w:tc>
      </w:tr>
      <w:tr>
        <w:tc>
          <w:tcPr>
            <w:tcW w:w="2340" w:type="dxa"/>
          </w:tcPr>
          <w:p>
            <w:pPr/>
            <w:r>
              <w:t xml:space="preserve">Boites d'Archives</w:t>
            </w:r>
          </w:p>
        </w:tc>
        <w:tc>
          <w:tcPr>
            <w:tcW w:w="2340" w:type="dxa"/>
          </w:tcPr>
          <w:p>
            <w:pPr/>
            <w:r>
              <w:t xml:space="preserve">14 603</w:t>
            </w:r>
          </w:p>
        </w:tc>
        <w:tc>
          <w:tcPr>
            <w:tcW w:w="2340" w:type="dxa"/>
          </w:tcPr>
          <w:p>
            <w:pPr/>
            <w:r>
              <w:t xml:space="preserve">2,0 %</w:t>
            </w:r>
          </w:p>
        </w:tc>
        <w:tc>
          <w:tcPr>
            <w:tcW w:w="2340" w:type="dxa"/>
          </w:tcPr>
          <w:p>
            <w:pPr/>
            <w:r>
              <w:t xml:space="preserve">315</w:t>
            </w:r>
          </w:p>
        </w:tc>
      </w:tr>
    </w:tbl>
    <w:p>
      <w:pPr/>
      <w:r>
        <w:rPr>
          <w:b/>
        </w:rPr>
        <w:t xml:space="preserve">Top 5 marques par CA</w:t>
      </w:r>
      <w:r>
        <w:t xml:space="preserve"> (93 marques ; 11,7 % des lignes sans marque)</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Marque</w:t>
            </w:r>
          </w:p>
        </w:tc>
        <w:tc>
          <w:tcPr>
            <w:tcW w:w="2340" w:type="dxa"/>
            <w:shd w:val="clear" w:color="auto" w:fill="F2F2F2"/>
          </w:tcPr>
          <w:p>
            <w:pPr/>
            <w:r>
              <w:t xml:space="preserve">CA (TND)</w:t>
            </w:r>
          </w:p>
        </w:tc>
        <w:tc>
          <w:tcPr>
            <w:tcW w:w="2340" w:type="dxa"/>
            <w:shd w:val="clear" w:color="auto" w:fill="F2F2F2"/>
          </w:tcPr>
          <w:p>
            <w:pPr/>
            <w:r>
              <w:t xml:space="preserve">Part du CA</w:t>
            </w:r>
          </w:p>
        </w:tc>
        <w:tc>
          <w:tcPr>
            <w:tcW w:w="2340" w:type="dxa"/>
            <w:shd w:val="clear" w:color="auto" w:fill="F2F2F2"/>
          </w:tcPr>
          <w:p>
            <w:pPr/>
            <w:r>
              <w:t xml:space="preserve">Commandes</w:t>
            </w:r>
          </w:p>
        </w:tc>
      </w:tr>
      <w:tr>
        <w:tc>
          <w:tcPr>
            <w:tcW w:w="2340" w:type="dxa"/>
          </w:tcPr>
          <w:p>
            <w:pPr/>
            <w:r>
              <w:t xml:space="preserve">WHITE LABEL</w:t>
            </w:r>
          </w:p>
        </w:tc>
        <w:tc>
          <w:tcPr>
            <w:tcW w:w="2340" w:type="dxa"/>
          </w:tcPr>
          <w:p>
            <w:pPr/>
            <w:r>
              <w:t xml:space="preserve">78 177</w:t>
            </w:r>
          </w:p>
        </w:tc>
        <w:tc>
          <w:tcPr>
            <w:tcW w:w="2340" w:type="dxa"/>
          </w:tcPr>
          <w:p>
            <w:pPr/>
            <w:r>
              <w:t xml:space="preserve">17,6 %</w:t>
            </w:r>
          </w:p>
        </w:tc>
        <w:tc>
          <w:tcPr>
            <w:tcW w:w="2340" w:type="dxa"/>
          </w:tcPr>
          <w:p>
            <w:pPr/>
            <w:r>
              <w:t xml:space="preserve">1 555</w:t>
            </w:r>
          </w:p>
        </w:tc>
      </w:tr>
      <w:tr>
        <w:tc>
          <w:tcPr>
            <w:tcW w:w="2340" w:type="dxa"/>
          </w:tcPr>
          <w:p>
            <w:pPr/>
            <w:r>
              <w:t xml:space="preserve">OFFICE PLAST</w:t>
            </w:r>
          </w:p>
        </w:tc>
        <w:tc>
          <w:tcPr>
            <w:tcW w:w="2340" w:type="dxa"/>
          </w:tcPr>
          <w:p>
            <w:pPr/>
            <w:r>
              <w:t xml:space="preserve">75 631</w:t>
            </w:r>
          </w:p>
        </w:tc>
        <w:tc>
          <w:tcPr>
            <w:tcW w:w="2340" w:type="dxa"/>
          </w:tcPr>
          <w:p>
            <w:pPr/>
            <w:r>
              <w:t xml:space="preserve">17,0 %</w:t>
            </w:r>
          </w:p>
        </w:tc>
        <w:tc>
          <w:tcPr>
            <w:tcW w:w="2340" w:type="dxa"/>
          </w:tcPr>
          <w:p>
            <w:pPr/>
            <w:r>
              <w:t xml:space="preserve">1 409</w:t>
            </w:r>
          </w:p>
        </w:tc>
      </w:tr>
      <w:tr>
        <w:tc>
          <w:tcPr>
            <w:tcW w:w="2340" w:type="dxa"/>
          </w:tcPr>
          <w:p>
            <w:pPr/>
            <w:r>
              <w:t xml:space="preserve">DELI</w:t>
            </w:r>
          </w:p>
        </w:tc>
        <w:tc>
          <w:tcPr>
            <w:tcW w:w="2340" w:type="dxa"/>
          </w:tcPr>
          <w:p>
            <w:pPr/>
            <w:r>
              <w:t xml:space="preserve">26 015</w:t>
            </w:r>
          </w:p>
        </w:tc>
        <w:tc>
          <w:tcPr>
            <w:tcW w:w="2340" w:type="dxa"/>
          </w:tcPr>
          <w:p>
            <w:pPr/>
            <w:r>
              <w:t xml:space="preserve">5,9 %</w:t>
            </w:r>
          </w:p>
        </w:tc>
        <w:tc>
          <w:tcPr>
            <w:tcW w:w="2340" w:type="dxa"/>
          </w:tcPr>
          <w:p>
            <w:pPr/>
            <w:r>
              <w:t xml:space="preserve">517</w:t>
            </w:r>
          </w:p>
        </w:tc>
      </w:tr>
      <w:tr>
        <w:tc>
          <w:tcPr>
            <w:tcW w:w="2340" w:type="dxa"/>
          </w:tcPr>
          <w:p>
            <w:pPr/>
            <w:r>
              <w:t xml:space="preserve">RIBAT PAPIER</w:t>
            </w:r>
          </w:p>
        </w:tc>
        <w:tc>
          <w:tcPr>
            <w:tcW w:w="2340" w:type="dxa"/>
          </w:tcPr>
          <w:p>
            <w:pPr/>
            <w:r>
              <w:t xml:space="preserve">19 904</w:t>
            </w:r>
          </w:p>
        </w:tc>
        <w:tc>
          <w:tcPr>
            <w:tcW w:w="2340" w:type="dxa"/>
          </w:tcPr>
          <w:p>
            <w:pPr/>
            <w:r>
              <w:t xml:space="preserve">4,5 %</w:t>
            </w:r>
          </w:p>
        </w:tc>
        <w:tc>
          <w:tcPr>
            <w:tcW w:w="2340" w:type="dxa"/>
          </w:tcPr>
          <w:p>
            <w:pPr/>
            <w:r>
              <w:t xml:space="preserve">559</w:t>
            </w:r>
          </w:p>
        </w:tc>
      </w:tr>
      <w:tr>
        <w:tc>
          <w:tcPr>
            <w:tcW w:w="2340" w:type="dxa"/>
          </w:tcPr>
          <w:p>
            <w:pPr/>
            <w:r>
              <w:t xml:space="preserve">EPSON</w:t>
            </w:r>
          </w:p>
        </w:tc>
        <w:tc>
          <w:tcPr>
            <w:tcW w:w="2340" w:type="dxa"/>
          </w:tcPr>
          <w:p>
            <w:pPr/>
            <w:r>
              <w:t xml:space="preserve">17 328</w:t>
            </w:r>
          </w:p>
        </w:tc>
        <w:tc>
          <w:tcPr>
            <w:tcW w:w="2340" w:type="dxa"/>
          </w:tcPr>
          <w:p>
            <w:pPr/>
            <w:r>
              <w:t xml:space="preserve">3,9 %</w:t>
            </w:r>
          </w:p>
        </w:tc>
        <w:tc>
          <w:tcPr>
            <w:tcW w:w="2340" w:type="dxa"/>
          </w:tcPr>
          <w:p>
            <w:pPr/>
            <w:r>
              <w:t xml:space="preserve">221</w:t>
            </w:r>
          </w:p>
        </w:tc>
      </w:tr>
    </w:tbl>
    <w:p>
      <w:pPr/>
      <w:r>
        <w:rPr>
          <w:b/>
        </w:rPr>
        <w:t xml:space="preserve">Top 5 produits par CA</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Produit</w:t>
            </w:r>
          </w:p>
        </w:tc>
        <w:tc>
          <w:tcPr>
            <w:tcW w:w="2340" w:type="dxa"/>
            <w:shd w:val="clear" w:color="auto" w:fill="F2F2F2"/>
          </w:tcPr>
          <w:p>
            <w:pPr/>
            <w:r>
              <w:t xml:space="preserve">CA (TND)</w:t>
            </w:r>
          </w:p>
        </w:tc>
        <w:tc>
          <w:tcPr>
            <w:tcW w:w="2340" w:type="dxa"/>
            <w:shd w:val="clear" w:color="auto" w:fill="F2F2F2"/>
          </w:tcPr>
          <w:p>
            <w:pPr/>
            <w:r>
              <w:t xml:space="preserve">Qté</w:t>
            </w:r>
          </w:p>
        </w:tc>
        <w:tc>
          <w:tcPr>
            <w:tcW w:w="2340" w:type="dxa"/>
            <w:shd w:val="clear" w:color="auto" w:fill="F2F2F2"/>
          </w:tcPr>
          <w:p>
            <w:pPr/>
            <w:r>
              <w:t xml:space="preserve">Commandes</w:t>
            </w:r>
          </w:p>
        </w:tc>
      </w:tr>
      <w:tr>
        <w:tc>
          <w:tcPr>
            <w:tcW w:w="2340" w:type="dxa"/>
          </w:tcPr>
          <w:p>
            <w:pPr/>
            <w:r>
              <w:t xml:space="preserve">RAME DE PAPIER OMNIA A5 80GR - 500 feuilles</w:t>
            </w:r>
          </w:p>
        </w:tc>
        <w:tc>
          <w:tcPr>
            <w:tcW w:w="2340" w:type="dxa"/>
          </w:tcPr>
          <w:p>
            <w:pPr/>
            <w:r>
              <w:t xml:space="preserve">88 410</w:t>
            </w:r>
          </w:p>
        </w:tc>
        <w:tc>
          <w:tcPr>
            <w:tcW w:w="2340" w:type="dxa"/>
          </w:tcPr>
          <w:p>
            <w:pPr/>
            <w:r>
              <w:t xml:space="preserve">9 076</w:t>
            </w:r>
          </w:p>
        </w:tc>
        <w:tc>
          <w:tcPr>
            <w:tcW w:w="2340" w:type="dxa"/>
          </w:tcPr>
          <w:p>
            <w:pPr/>
            <w:r>
              <w:t xml:space="preserve">522</w:t>
            </w:r>
          </w:p>
        </w:tc>
      </w:tr>
      <w:tr>
        <w:tc>
          <w:tcPr>
            <w:tcW w:w="2340" w:type="dxa"/>
          </w:tcPr>
          <w:p>
            <w:pPr/>
            <w:r>
              <w:t xml:space="preserve">RAME DE PAPIER BLANC A4 MY PRINT - 80GR</w:t>
            </w:r>
          </w:p>
        </w:tc>
        <w:tc>
          <w:tcPr>
            <w:tcW w:w="2340" w:type="dxa"/>
          </w:tcPr>
          <w:p>
            <w:pPr/>
            <w:r>
              <w:t xml:space="preserve">34 165</w:t>
            </w:r>
          </w:p>
        </w:tc>
        <w:tc>
          <w:tcPr>
            <w:tcW w:w="2340" w:type="dxa"/>
          </w:tcPr>
          <w:p>
            <w:pPr/>
            <w:r>
              <w:t xml:space="preserve">2 968</w:t>
            </w:r>
          </w:p>
        </w:tc>
        <w:tc>
          <w:tcPr>
            <w:tcW w:w="2340" w:type="dxa"/>
          </w:tcPr>
          <w:p>
            <w:pPr/>
            <w:r>
              <w:t xml:space="preserve">266</w:t>
            </w:r>
          </w:p>
        </w:tc>
      </w:tr>
      <w:tr>
        <w:tc>
          <w:tcPr>
            <w:tcW w:w="2340" w:type="dxa"/>
          </w:tcPr>
          <w:p>
            <w:pPr/>
            <w:r>
              <w:t xml:space="preserve">RAME PAPIER MY PRINT A4</w:t>
            </w:r>
          </w:p>
        </w:tc>
        <w:tc>
          <w:tcPr>
            <w:tcW w:w="2340" w:type="dxa"/>
          </w:tcPr>
          <w:p>
            <w:pPr/>
            <w:r>
              <w:t xml:space="preserve">27 866</w:t>
            </w:r>
          </w:p>
        </w:tc>
        <w:tc>
          <w:tcPr>
            <w:tcW w:w="2340" w:type="dxa"/>
          </w:tcPr>
          <w:p>
            <w:pPr/>
            <w:r>
              <w:t xml:space="preserve">2 580</w:t>
            </w:r>
          </w:p>
        </w:tc>
        <w:tc>
          <w:tcPr>
            <w:tcW w:w="2340" w:type="dxa"/>
          </w:tcPr>
          <w:p>
            <w:pPr/>
            <w:r>
              <w:t xml:space="preserve">288</w:t>
            </w:r>
          </w:p>
        </w:tc>
      </w:tr>
      <w:tr>
        <w:tc>
          <w:tcPr>
            <w:tcW w:w="2340" w:type="dxa"/>
          </w:tcPr>
          <w:p>
            <w:pPr/>
            <w:r>
              <w:t xml:space="preserve">RAME DE PAPIER EVERYDAY 70GR - 500 feuilles</w:t>
            </w:r>
          </w:p>
        </w:tc>
        <w:tc>
          <w:tcPr>
            <w:tcW w:w="2340" w:type="dxa"/>
          </w:tcPr>
          <w:p>
            <w:pPr/>
            <w:r>
              <w:t xml:space="preserve">23 941</w:t>
            </w:r>
          </w:p>
        </w:tc>
        <w:tc>
          <w:tcPr>
            <w:tcW w:w="2340" w:type="dxa"/>
          </w:tcPr>
          <w:p>
            <w:pPr/>
            <w:r>
              <w:t xml:space="preserve">2 093</w:t>
            </w:r>
          </w:p>
        </w:tc>
        <w:tc>
          <w:tcPr>
            <w:tcW w:w="2340" w:type="dxa"/>
          </w:tcPr>
          <w:p>
            <w:pPr/>
            <w:r>
              <w:t xml:space="preserve">199</w:t>
            </w:r>
          </w:p>
        </w:tc>
      </w:tr>
      <w:tr>
        <w:tc>
          <w:tcPr>
            <w:tcW w:w="2340" w:type="dxa"/>
          </w:tcPr>
          <w:p>
            <w:pPr/>
            <w:r>
              <w:t xml:space="preserve">RAMETTE DE PAPIER A4 OMNIA 80G - 500 feuilles</w:t>
            </w:r>
          </w:p>
        </w:tc>
        <w:tc>
          <w:tcPr>
            <w:tcW w:w="2340" w:type="dxa"/>
          </w:tcPr>
          <w:p>
            <w:pPr/>
            <w:r>
              <w:t xml:space="preserve">11 883</w:t>
            </w:r>
          </w:p>
        </w:tc>
        <w:tc>
          <w:tcPr>
            <w:tcW w:w="2340" w:type="dxa"/>
          </w:tcPr>
          <w:p>
            <w:pPr/>
            <w:r>
              <w:t xml:space="preserve">920</w:t>
            </w:r>
          </w:p>
        </w:tc>
        <w:tc>
          <w:tcPr>
            <w:tcW w:w="2340" w:type="dxa"/>
          </w:tcPr>
          <w:p>
            <w:pPr/>
            <w:r>
              <w:t xml:space="preserve">22</w:t>
            </w:r>
          </w:p>
        </w:tc>
      </w:tr>
    </w:tbl>
    <w:p>
      <w:pPr/>
      <w:r>
        <w:t xml:space="preserve">Un seul produit (OMNIA A5 80GR) représente à lui seul </w:t>
      </w:r>
      <w:r>
        <w:rPr>
          <w:b/>
        </w:rPr>
        <w:t xml:space="preserve">11,9 % du CA total de l'entreprise</w:t>
      </w:r>
      <w:r>
        <w:t xml:space="preserve"> et apparaît dans </w:t>
      </w:r>
      <w:r>
        <w:rPr>
          <w:b/>
        </w:rPr>
        <w:t xml:space="preserve">522 commandes</w:t>
      </w:r>
      <w:r>
        <w:t xml:space="preserve"> (12,7 % de toutes les commandes) — c'est le produit d'appel de l'enseigne.</w:t>
      </w:r>
    </w:p>
    <w:p>
      <w:pPr/>
      <w:r>
        <w:rPr>
          <w:b/>
        </w:rPr>
        <w:t xml:space="preserve">Analyse ABC / Pareto (2 834 références actives)</w:t>
      </w:r>
    </w:p>
    <w:p>
      <w:pPr>
        <w:pStyle w:val="ListParagraph"/>
        <w:numPr>
          <w:ilvl w:val="0"/>
          <w:numId w:val="5"/>
        </w:numPr>
      </w:pPr>
      <w:r>
        <w:t xml:space="preserve">1,9 % des références (54 produits) génèrent 50 % du CA.</w:t>
      </w:r>
    </w:p>
    <w:p>
      <w:pPr>
        <w:pStyle w:val="ListParagraph"/>
        <w:numPr>
          <w:ilvl w:val="0"/>
          <w:numId w:val="5"/>
        </w:numPr>
      </w:pPr>
      <w:r>
        <w:t xml:space="preserve">14,6 % des références (414 produits) génèrent 80 % du CA.</w:t>
      </w:r>
    </w:p>
    <w:p>
      <w:pPr>
        <w:pStyle w:val="ListParagraph"/>
        <w:numPr>
          <w:ilvl w:val="0"/>
          <w:numId w:val="5"/>
        </w:numPr>
      </w:pPr>
      <w:r>
        <w:t xml:space="preserve">Le top 20 % du catalogue (566 références) génère 84,7 % du CA.</w:t>
      </w:r>
    </w:p>
    <w:p>
      <w:pPr/>
      <w:r>
        <w:t xml:space="preserve">La concentration est très forte : le catalogue est en pratique porté par une poignée de références papier et fournitures de base, avec une longue traîne de milliers de références à contribution marginale — typique d'un site de fournitures de bureau, mais un niveau à surveiller pour ne pas sur-dépendre d'un nombre restreint de fournisseurs/références.</w:t>
      </w:r>
    </w:p>
    <w:p>
      <w:pPr/>
      <w:r>
        <w:rPr>
          <w:b/>
        </w:rPr>
        <w:t xml:space="preserve">NON CALCULABLE avec les données disponibles</w:t>
      </w:r>
      <w:r>
        <w:t xml:space="preserve"> : évolution YoY produit par produit, produits saisonniers, produits émergents/en déclin — ces analyses supposent plusieurs cycles annuels complets par produit ; avec 14 mois d'historique et une seule rentrée comparable, les variations observées sur un produit donné ne sont pas encore statistiquement fiables au niveau référence individuelle.</w:t>
      </w:r>
    </w:p>
    <w:p>
      <w:pPr>
        <w:pStyle w:val="Heading2"/>
      </w:pPr>
      <w:r>
        <w:t xml:space="preserve">Remises</w:t>
      </w:r>
    </w:p>
    <w:p>
      <w:pPr/>
      <w:r>
        <w:t xml:space="preserve">48,1 % des lignes produits (11 316/23 522) portent une remise ; type « Pourcentage » sur 11 316 lignes, « Montant » sur 5 307 lignes. Remise moyenne sur les lignes remisées : 21,7 % ; remise moyenne toutes lignes confondues : 10,4 %.</w:t>
      </w:r>
    </w:p>
    <w:tbl>
      <w:tblPr>
        <w:tblStyle w:val="TableGrid"/>
        <w:tblW w:w="0" w:type="auto"/>
        <w:tblLayout w:type="fixed"/>
        <w:tblLook w:val="04A0" w:firstRow="1" w:lastRow="0" w:firstColumn="0" w:lastColumn="0" w:noHBand="0" w:noVBand="1"/>
      </w:tblPr>
      <w:tblGrid>
        <w:gridCol w:w="3120"/>
        <w:gridCol w:w="3120"/>
        <w:gridCol w:w="3120"/>
      </w:tblGrid>
      <w:tr>
        <w:trPr>
          <w:tblHeader/>
        </w:trPr>
        <w:tc>
          <w:tcPr>
            <w:tcW w:w="3120" w:type="dxa"/>
            <w:shd w:val="clear" w:color="auto" w:fill="F2F2F2"/>
          </w:tcPr>
          <w:p>
            <w:pPr/>
          </w:p>
        </w:tc>
        <w:tc>
          <w:tcPr>
            <w:tcW w:w="3120" w:type="dxa"/>
            <w:shd w:val="clear" w:color="auto" w:fill="F2F2F2"/>
          </w:tcPr>
          <w:p>
            <w:pPr/>
            <w:r>
              <w:t xml:space="preserve">Commandes avec remise</w:t>
            </w:r>
          </w:p>
        </w:tc>
        <w:tc>
          <w:tcPr>
            <w:tcW w:w="3120" w:type="dxa"/>
            <w:shd w:val="clear" w:color="auto" w:fill="F2F2F2"/>
          </w:tcPr>
          <w:p>
            <w:pPr/>
            <w:r>
              <w:t xml:space="preserve">Commandes sans remise</w:t>
            </w:r>
          </w:p>
        </w:tc>
      </w:tr>
      <w:tr>
        <w:tc>
          <w:tcPr>
            <w:tcW w:w="3120" w:type="dxa"/>
          </w:tcPr>
          <w:p>
            <w:pPr/>
            <w:r>
              <w:t xml:space="preserve">Nombre</w:t>
            </w:r>
          </w:p>
        </w:tc>
        <w:tc>
          <w:tcPr>
            <w:tcW w:w="3120" w:type="dxa"/>
          </w:tcPr>
          <w:p>
            <w:pPr/>
            <w:r>
              <w:t xml:space="preserve">1 548</w:t>
            </w:r>
          </w:p>
        </w:tc>
        <w:tc>
          <w:tcPr>
            <w:tcW w:w="3120" w:type="dxa"/>
          </w:tcPr>
          <w:p>
            <w:pPr/>
            <w:r>
              <w:t xml:space="preserve">2 559</w:t>
            </w:r>
          </w:p>
        </w:tc>
      </w:tr>
      <w:tr>
        <w:tc>
          <w:tcPr>
            <w:tcW w:w="3120" w:type="dxa"/>
          </w:tcPr>
          <w:p>
            <w:pPr/>
            <w:r>
              <w:t xml:space="preserve">Panier moyen</w:t>
            </w:r>
          </w:p>
        </w:tc>
        <w:tc>
          <w:tcPr>
            <w:tcW w:w="3120" w:type="dxa"/>
          </w:tcPr>
          <w:p>
            <w:pPr/>
            <w:r>
              <w:t xml:space="preserve">184 TND</w:t>
            </w:r>
          </w:p>
        </w:tc>
        <w:tc>
          <w:tcPr>
            <w:tcW w:w="3120" w:type="dxa"/>
          </w:tcPr>
          <w:p>
            <w:pPr/>
            <w:r>
              <w:t xml:space="preserve">180 TND</w:t>
            </w:r>
          </w:p>
        </w:tc>
      </w:tr>
      <w:tr>
        <w:tc>
          <w:tcPr>
            <w:tcW w:w="3120" w:type="dxa"/>
          </w:tcPr>
          <w:p>
            <w:pPr/>
            <w:r>
              <w:t xml:space="preserve">Taux d'annulation</w:t>
            </w:r>
          </w:p>
        </w:tc>
        <w:tc>
          <w:tcPr>
            <w:tcW w:w="3120" w:type="dxa"/>
          </w:tcPr>
          <w:p>
            <w:pPr/>
            <w:r>
              <w:t xml:space="preserve">10,8 %</w:t>
            </w:r>
          </w:p>
        </w:tc>
        <w:tc>
          <w:tcPr>
            <w:tcW w:w="3120" w:type="dxa"/>
          </w:tcPr>
          <w:p>
            <w:pPr/>
            <w:r>
              <w:t xml:space="preserve">19,2 %</w:t>
            </w:r>
          </w:p>
        </w:tc>
      </w:tr>
    </w:tbl>
    <w:p>
      <w:pPr/>
      <w:r>
        <w:rPr>
          <w:b/>
        </w:rPr>
        <w:t xml:space="preserve">Lecture</w:t>
      </w:r>
      <w:r>
        <w:t xml:space="preserve"> : les commandes avec remise ont un panier moyen très légèrement supérieur et un taux d'annulation deux fois plus faible que les commandes sans remise. Ceci est une </w:t>
      </w:r>
      <w:r>
        <w:rPr>
          <w:b/>
        </w:rPr>
        <w:t xml:space="preserve">corrélation, pas une preuve de causalité</w:t>
      </w:r>
      <w:r>
        <w:t xml:space="preserve"> : il est plausible que la remise réduise l'hésitation à l'achat et donc l'annulation, mais il est tout aussi plausible que les clients qui annulent le plus soient ceux qui n'ont pas bénéficié d'offre ciblée (moins engagés dès le départ), ou que certaines remises soient appliquées a posteriori sur des commandes déjà confirmées. Le CA ne progresse pas non plus mécaniquement avec la remise ici : le panier moyen des commandes remisées n'est supérieur que de 4 TND — la remise ne semble donc pas être le principal levier de montée en valeur du panier sur cette période.</w:t>
      </w:r>
    </w:p>
    <w:p>
      <w:pPr/>
      <w:r>
        <w:rPr>
          <w:b/>
        </w:rPr>
        <w:t xml:space="preserve">NON CALCULABLE avec les données disponibles</w:t>
      </w:r>
      <w:r>
        <w:t xml:space="preserve"> : l'effet de la remise sur l'acquisition de nouveaux clients spécifiquement (remise moyenne chez les primo-acheteurs vs clients récurrents) n'a pas été isolé dans ce rapport ; à instrumenter si Agrafe.tn veut arbitrer entre remise d'acquisition et remise de fidélisation.</w:t>
      </w:r>
    </w:p>
    <w:p>
      <w:pPr>
        <w:pStyle w:val="Heading2"/>
      </w:pPr>
      <w:r>
        <w:t xml:space="preserve">Clients</w:t>
      </w:r>
    </w:p>
    <w:p>
      <w:pPr/>
      <w:r>
        <w:t xml:space="preserve">2 952 clients uniques (email). 81,8 % (2 416) n'ont commandé qu'une fois ; 18,2 % (536) sont récurrents. Le top 10 % des clients génère 49,6 % du CA total ; le top 5 %, 36,5 %.</w:t>
      </w:r>
    </w:p>
    <w:p>
      <w:pPr/>
      <w:r>
        <w:rPr>
          <w:b/>
        </w:rPr>
        <w:t xml:space="preserve">Segmentation RFM (simplifiée : récence, fréquence, montant)</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Segment</w:t>
            </w:r>
          </w:p>
        </w:tc>
        <w:tc>
          <w:tcPr>
            <w:tcW w:w="2340" w:type="dxa"/>
            <w:shd w:val="clear" w:color="auto" w:fill="F2F2F2"/>
          </w:tcPr>
          <w:p>
            <w:pPr/>
            <w:r>
              <w:t xml:space="preserve">Nb clients</w:t>
            </w:r>
          </w:p>
        </w:tc>
        <w:tc>
          <w:tcPr>
            <w:tcW w:w="2340" w:type="dxa"/>
            <w:shd w:val="clear" w:color="auto" w:fill="F2F2F2"/>
          </w:tcPr>
          <w:p>
            <w:pPr/>
            <w:r>
              <w:t xml:space="preserve">% clients</w:t>
            </w:r>
          </w:p>
        </w:tc>
        <w:tc>
          <w:tcPr>
            <w:tcW w:w="2340" w:type="dxa"/>
            <w:shd w:val="clear" w:color="auto" w:fill="F2F2F2"/>
          </w:tcPr>
          <w:p>
            <w:pPr/>
            <w:r>
              <w:t xml:space="preserve">Part du CA</w:t>
            </w:r>
          </w:p>
        </w:tc>
      </w:tr>
      <w:tr>
        <w:tc>
          <w:tcPr>
            <w:tcW w:w="2340" w:type="dxa"/>
          </w:tcPr>
          <w:p>
            <w:pPr/>
            <w:r>
              <w:t xml:space="preserve">Inactifs (&gt;180 j sans achat)</w:t>
            </w:r>
          </w:p>
        </w:tc>
        <w:tc>
          <w:tcPr>
            <w:tcW w:w="2340" w:type="dxa"/>
          </w:tcPr>
          <w:p>
            <w:pPr/>
            <w:r>
              <w:t xml:space="preserve">1 585</w:t>
            </w:r>
          </w:p>
        </w:tc>
        <w:tc>
          <w:tcPr>
            <w:tcW w:w="2340" w:type="dxa"/>
          </w:tcPr>
          <w:p>
            <w:pPr/>
            <w:r>
              <w:t xml:space="preserve">53,7 %</w:t>
            </w:r>
          </w:p>
        </w:tc>
        <w:tc>
          <w:tcPr>
            <w:tcW w:w="2340" w:type="dxa"/>
          </w:tcPr>
          <w:p>
            <w:pPr/>
            <w:r>
              <w:t xml:space="preserve">40,8 %</w:t>
            </w:r>
          </w:p>
        </w:tc>
      </w:tr>
      <w:tr>
        <w:tc>
          <w:tcPr>
            <w:tcW w:w="2340" w:type="dxa"/>
          </w:tcPr>
          <w:p>
            <w:pPr/>
            <w:r>
              <w:t xml:space="preserve">À risque (45-180 j)</w:t>
            </w:r>
          </w:p>
        </w:tc>
        <w:tc>
          <w:tcPr>
            <w:tcW w:w="2340" w:type="dxa"/>
          </w:tcPr>
          <w:p>
            <w:pPr/>
            <w:r>
              <w:t xml:space="preserve">663</w:t>
            </w:r>
          </w:p>
        </w:tc>
        <w:tc>
          <w:tcPr>
            <w:tcW w:w="2340" w:type="dxa"/>
          </w:tcPr>
          <w:p>
            <w:pPr/>
            <w:r>
              <w:t xml:space="preserve">22,5 %</w:t>
            </w:r>
          </w:p>
        </w:tc>
        <w:tc>
          <w:tcPr>
            <w:tcW w:w="2340" w:type="dxa"/>
          </w:tcPr>
          <w:p>
            <w:pPr/>
            <w:r>
              <w:t xml:space="preserve">28,3 %</w:t>
            </w:r>
          </w:p>
        </w:tc>
      </w:tr>
      <w:tr>
        <w:tc>
          <w:tcPr>
            <w:tcW w:w="2340" w:type="dxa"/>
          </w:tcPr>
          <w:p>
            <w:pPr/>
            <w:r>
              <w:t xml:space="preserve">Fidèles (≥3 commandes, actifs ≤60 j)</w:t>
            </w:r>
          </w:p>
        </w:tc>
        <w:tc>
          <w:tcPr>
            <w:tcW w:w="2340" w:type="dxa"/>
          </w:tcPr>
          <w:p>
            <w:pPr/>
            <w:r>
              <w:t xml:space="preserve">97</w:t>
            </w:r>
          </w:p>
        </w:tc>
        <w:tc>
          <w:tcPr>
            <w:tcW w:w="2340" w:type="dxa"/>
          </w:tcPr>
          <w:p>
            <w:pPr/>
            <w:r>
              <w:t xml:space="preserve">3,3 %</w:t>
            </w:r>
          </w:p>
        </w:tc>
        <w:tc>
          <w:tcPr>
            <w:tcW w:w="2340" w:type="dxa"/>
          </w:tcPr>
          <w:p>
            <w:pPr/>
            <w:r>
              <w:t xml:space="preserve">13,9 %</w:t>
            </w:r>
          </w:p>
        </w:tc>
      </w:tr>
      <w:tr>
        <w:tc>
          <w:tcPr>
            <w:tcW w:w="2340" w:type="dxa"/>
          </w:tcPr>
          <w:p>
            <w:pPr/>
            <w:r>
              <w:t xml:space="preserve">Nouveaux (1 commande, ≤30 j)</w:t>
            </w:r>
          </w:p>
        </w:tc>
        <w:tc>
          <w:tcPr>
            <w:tcW w:w="2340" w:type="dxa"/>
          </w:tcPr>
          <w:p>
            <w:pPr/>
            <w:r>
              <w:t xml:space="preserve">416</w:t>
            </w:r>
          </w:p>
        </w:tc>
        <w:tc>
          <w:tcPr>
            <w:tcW w:w="2340" w:type="dxa"/>
          </w:tcPr>
          <w:p>
            <w:pPr/>
            <w:r>
              <w:t xml:space="preserve">14,1 %</w:t>
            </w:r>
          </w:p>
        </w:tc>
        <w:tc>
          <w:tcPr>
            <w:tcW w:w="2340" w:type="dxa"/>
          </w:tcPr>
          <w:p>
            <w:pPr/>
            <w:r>
              <w:t xml:space="preserve">7,3 %</w:t>
            </w:r>
          </w:p>
        </w:tc>
      </w:tr>
      <w:tr>
        <w:tc>
          <w:tcPr>
            <w:tcW w:w="2340" w:type="dxa"/>
          </w:tcPr>
          <w:p>
            <w:pPr/>
            <w:r>
              <w:t xml:space="preserve">Forte valeur (≥500 TND, actifs ≤90 j)</w:t>
            </w:r>
          </w:p>
        </w:tc>
        <w:tc>
          <w:tcPr>
            <w:tcW w:w="2340" w:type="dxa"/>
          </w:tcPr>
          <w:p>
            <w:pPr/>
            <w:r>
              <w:t xml:space="preserve">37</w:t>
            </w:r>
          </w:p>
        </w:tc>
        <w:tc>
          <w:tcPr>
            <w:tcW w:w="2340" w:type="dxa"/>
          </w:tcPr>
          <w:p>
            <w:pPr/>
            <w:r>
              <w:t xml:space="preserve">1,3 %</w:t>
            </w:r>
          </w:p>
        </w:tc>
        <w:tc>
          <w:tcPr>
            <w:tcW w:w="2340" w:type="dxa"/>
          </w:tcPr>
          <w:p>
            <w:pPr/>
            <w:r>
              <w:t xml:space="preserve">6,0 %</w:t>
            </w:r>
          </w:p>
        </w:tc>
      </w:tr>
      <w:tr>
        <w:tc>
          <w:tcPr>
            <w:tcW w:w="2340" w:type="dxa"/>
          </w:tcPr>
          <w:p>
            <w:pPr/>
            <w:r>
              <w:t xml:space="preserve">Actifs (≤45 j, hors autres segments)</w:t>
            </w:r>
          </w:p>
        </w:tc>
        <w:tc>
          <w:tcPr>
            <w:tcW w:w="2340" w:type="dxa"/>
          </w:tcPr>
          <w:p>
            <w:pPr/>
            <w:r>
              <w:t xml:space="preserve">154</w:t>
            </w:r>
          </w:p>
        </w:tc>
        <w:tc>
          <w:tcPr>
            <w:tcW w:w="2340" w:type="dxa"/>
          </w:tcPr>
          <w:p>
            <w:pPr/>
            <w:r>
              <w:t xml:space="preserve">5,2 %</w:t>
            </w:r>
          </w:p>
        </w:tc>
        <w:tc>
          <w:tcPr>
            <w:tcW w:w="2340" w:type="dxa"/>
          </w:tcPr>
          <w:p>
            <w:pPr/>
            <w:r>
              <w:t xml:space="preserve">3,7 %</w:t>
            </w:r>
          </w:p>
        </w:tc>
      </w:tr>
    </w:tbl>
    <w:p>
      <w:pPr/>
      <w:r>
        <w:t xml:space="preserve">Le segment « Inactifs » pèse 53,7 % de la base clients mais encore 40,8 % du CA cumulé historique — un volume important de valeur dormante à réactiver plutôt qu'à remplacer par de l'acquisition pure.</w:t>
      </w:r>
    </w:p>
    <w:p>
      <w:pPr/>
      <w:r>
        <w:rPr>
          <w:b/>
        </w:rPr>
        <w:t xml:space="preserve">Cohortes — clients acquis en rentrée vs ailleurs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Période de 1ère commande</w:t>
            </w:r>
          </w:p>
        </w:tc>
        <w:tc>
          <w:tcPr>
            <w:tcW w:w="2340" w:type="dxa"/>
            <w:shd w:val="clear" w:color="auto" w:fill="F2F2F2"/>
          </w:tcPr>
          <w:p>
            <w:pPr/>
            <w:r>
              <w:t xml:space="preserve">Nb clients</w:t>
            </w:r>
          </w:p>
        </w:tc>
        <w:tc>
          <w:tcPr>
            <w:tcW w:w="2340" w:type="dxa"/>
            <w:shd w:val="clear" w:color="auto" w:fill="F2F2F2"/>
          </w:tcPr>
          <w:p>
            <w:pPr/>
            <w:r>
              <w:t xml:space="preserve">% devenus récurrents</w:t>
            </w:r>
          </w:p>
        </w:tc>
        <w:tc>
          <w:tcPr>
            <w:tcW w:w="2340" w:type="dxa"/>
            <w:shd w:val="clear" w:color="auto" w:fill="F2F2F2"/>
          </w:tcPr>
          <w:p>
            <w:pPr/>
            <w:r>
              <w:t xml:space="preserve">CA moyen/client</w:t>
            </w:r>
          </w:p>
        </w:tc>
      </w:tr>
      <w:tr>
        <w:tc>
          <w:tcPr>
            <w:tcW w:w="2340" w:type="dxa"/>
          </w:tcPr>
          <w:p>
            <w:pPr/>
            <w:r>
              <w:t xml:space="preserve">Rentrée 2025</w:t>
            </w:r>
          </w:p>
        </w:tc>
        <w:tc>
          <w:tcPr>
            <w:tcW w:w="2340" w:type="dxa"/>
          </w:tcPr>
          <w:p>
            <w:pPr/>
            <w:r>
              <w:t xml:space="preserve">524</w:t>
            </w:r>
          </w:p>
        </w:tc>
        <w:tc>
          <w:tcPr>
            <w:tcW w:w="2340" w:type="dxa"/>
          </w:tcPr>
          <w:p>
            <w:pPr/>
            <w:r>
              <w:t xml:space="preserve">35,3 %</w:t>
            </w:r>
          </w:p>
        </w:tc>
        <w:tc>
          <w:tcPr>
            <w:tcW w:w="2340" w:type="dxa"/>
          </w:tcPr>
          <w:p>
            <w:pPr/>
            <w:r>
              <w:t xml:space="preserve">367 TND</w:t>
            </w:r>
          </w:p>
        </w:tc>
      </w:tr>
      <w:tr>
        <w:tc>
          <w:tcPr>
            <w:tcW w:w="2340" w:type="dxa"/>
          </w:tcPr>
          <w:p>
            <w:pPr/>
            <w:r>
              <w:t xml:space="preserve">Hors rentrée</w:t>
            </w:r>
          </w:p>
        </w:tc>
        <w:tc>
          <w:tcPr>
            <w:tcW w:w="2340" w:type="dxa"/>
          </w:tcPr>
          <w:p>
            <w:pPr/>
            <w:r>
              <w:t xml:space="preserve">1 871</w:t>
            </w:r>
          </w:p>
        </w:tc>
        <w:tc>
          <w:tcPr>
            <w:tcW w:w="2340" w:type="dxa"/>
          </w:tcPr>
          <w:p>
            <w:pPr/>
            <w:r>
              <w:t xml:space="preserve">17,4 %</w:t>
            </w:r>
          </w:p>
        </w:tc>
        <w:tc>
          <w:tcPr>
            <w:tcW w:w="2340" w:type="dxa"/>
          </w:tcPr>
          <w:p>
            <w:pPr/>
            <w:r>
              <w:t xml:space="preserve">251 TND</w:t>
            </w:r>
          </w:p>
        </w:tc>
      </w:tr>
      <w:tr>
        <w:tc>
          <w:tcPr>
            <w:tcW w:w="2340" w:type="dxa"/>
          </w:tcPr>
          <w:p>
            <w:pPr/>
            <w:r>
              <w:t xml:space="preserve">Rentrée 2026</w:t>
            </w:r>
          </w:p>
        </w:tc>
        <w:tc>
          <w:tcPr>
            <w:tcW w:w="2340" w:type="dxa"/>
          </w:tcPr>
          <w:p>
            <w:pPr/>
            <w:r>
              <w:t xml:space="preserve">557</w:t>
            </w:r>
          </w:p>
        </w:tc>
        <w:tc>
          <w:tcPr>
            <w:tcW w:w="2340" w:type="dxa"/>
          </w:tcPr>
          <w:p>
            <w:pPr/>
            <w:r>
              <w:t xml:space="preserve">4,7 %</w:t>
            </w:r>
          </w:p>
        </w:tc>
        <w:tc>
          <w:tcPr>
            <w:tcW w:w="2340" w:type="dxa"/>
          </w:tcPr>
          <w:p>
            <w:pPr/>
            <w:r>
              <w:t xml:space="preserve">150 TND</w:t>
            </w:r>
          </w:p>
        </w:tc>
      </w:tr>
    </w:tbl>
    <w:p>
      <w:pPr/>
      <w:r>
        <w:t xml:space="preserve">Les clients acquis pendant la rentrée 2025 se sont montrés deux fois plus fidèles (35,3 % de réachat) que ceux acquis hors rentrée (17,4 %) — </w:t>
      </w:r>
      <w:r>
        <w:rPr>
          <w:b/>
        </w:rPr>
        <w:t xml:space="preserve">la rentrée est une période d'acquisition de qualité</w:t>
      </w:r>
      <w:r>
        <w:t xml:space="preserve">, pas seulement de volume. Le chiffre très bas de la cohorte rentrée 2026 (4,7 %) n'est </w:t>
      </w:r>
      <w:r>
        <w:rPr>
          <w:b/>
        </w:rPr>
        <w:t xml:space="preserve">pas un signal d'alerte en soi</w:t>
      </w:r>
      <w:r>
        <w:t xml:space="preserve"> : ces clients n'ont eu que quelques semaines pour repasser commande au moment de l'extraction (24/09/2026), contre plus d'un an pour la cohorte 2025 — la comparaison n'est valable qu'en réexaminant cette cohorte dans 3 à 6 mois.</w:t>
      </w:r>
    </w:p>
    <w:p>
      <w:pPr/>
      <w:r>
        <w:rPr>
          <w:b/>
        </w:rPr>
        <w:t xml:space="preserve">NON CALCULABLE avec les données disponibles dans le détail demandé</w:t>
      </w:r>
      <w:r>
        <w:t xml:space="preserve"> : les taux de réachat M+1/M+2/M+3/M+6/M+12 par mois de cohorte complet nécessitent un historique plus long par cohorte que celui actuellement disponible pour la plupart des mois ; seule la cohorte août 2025 dispose d'assez de recul (13 mois) pour un calcul M+12 fiable.</w:t>
      </w:r>
    </w:p>
    <w:p>
      <w:pPr>
        <w:pStyle w:val="Heading2"/>
      </w:pPr>
      <w:r>
        <w:t xml:space="preserve">Géographie, paiement, transporteur, origine</w:t>
      </w:r>
    </w:p>
    <w:p>
      <w:pPr/>
      <w:r>
        <w:rPr>
          <w:b/>
        </w:rPr>
        <w:t xml:space="preserve">Géographie</w:t>
      </w:r>
      <w:r>
        <w:t xml:space="preserve"> (après normalisation de la casse des villes ; 820 villes distinctes)</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Ville</w:t>
            </w:r>
          </w:p>
        </w:tc>
        <w:tc>
          <w:tcPr>
            <w:tcW w:w="2340" w:type="dxa"/>
            <w:shd w:val="clear" w:color="auto" w:fill="F2F2F2"/>
          </w:tcPr>
          <w:p>
            <w:pPr/>
            <w:r>
              <w:t xml:space="preserve">Commandes</w:t>
            </w:r>
          </w:p>
        </w:tc>
        <w:tc>
          <w:tcPr>
            <w:tcW w:w="2340" w:type="dxa"/>
            <w:shd w:val="clear" w:color="auto" w:fill="F2F2F2"/>
          </w:tcPr>
          <w:p>
            <w:pPr/>
            <w:r>
              <w:t xml:space="preserve">CA (TND)</w:t>
            </w:r>
          </w:p>
        </w:tc>
        <w:tc>
          <w:tcPr>
            <w:tcW w:w="2340" w:type="dxa"/>
            <w:shd w:val="clear" w:color="auto" w:fill="F2F2F2"/>
          </w:tcPr>
          <w:p>
            <w:pPr/>
            <w:r>
              <w:t xml:space="preserve">Part du CA</w:t>
            </w:r>
          </w:p>
        </w:tc>
      </w:tr>
      <w:tr>
        <w:tc>
          <w:tcPr>
            <w:tcW w:w="2340" w:type="dxa"/>
          </w:tcPr>
          <w:p>
            <w:pPr/>
            <w:r>
              <w:t xml:space="preserve">Tunis</w:t>
            </w:r>
          </w:p>
        </w:tc>
        <w:tc>
          <w:tcPr>
            <w:tcW w:w="2340" w:type="dxa"/>
          </w:tcPr>
          <w:p>
            <w:pPr/>
            <w:r>
              <w:t xml:space="preserve">691</w:t>
            </w:r>
          </w:p>
        </w:tc>
        <w:tc>
          <w:tcPr>
            <w:tcW w:w="2340" w:type="dxa"/>
          </w:tcPr>
          <w:p>
            <w:pPr/>
            <w:r>
              <w:t xml:space="preserve">141 729</w:t>
            </w:r>
          </w:p>
        </w:tc>
        <w:tc>
          <w:tcPr>
            <w:tcW w:w="2340" w:type="dxa"/>
          </w:tcPr>
          <w:p>
            <w:pPr/>
            <w:r>
              <w:t xml:space="preserve">19,0 %</w:t>
            </w:r>
          </w:p>
        </w:tc>
      </w:tr>
      <w:tr>
        <w:tc>
          <w:tcPr>
            <w:tcW w:w="2340" w:type="dxa"/>
          </w:tcPr>
          <w:p>
            <w:pPr/>
            <w:r>
              <w:t xml:space="preserve">Ariana</w:t>
            </w:r>
          </w:p>
        </w:tc>
        <w:tc>
          <w:tcPr>
            <w:tcW w:w="2340" w:type="dxa"/>
          </w:tcPr>
          <w:p>
            <w:pPr/>
            <w:r>
              <w:t xml:space="preserve">247</w:t>
            </w:r>
          </w:p>
        </w:tc>
        <w:tc>
          <w:tcPr>
            <w:tcW w:w="2340" w:type="dxa"/>
          </w:tcPr>
          <w:p>
            <w:pPr/>
            <w:r>
              <w:t xml:space="preserve">48 941</w:t>
            </w:r>
          </w:p>
        </w:tc>
        <w:tc>
          <w:tcPr>
            <w:tcW w:w="2340" w:type="dxa"/>
          </w:tcPr>
          <w:p>
            <w:pPr/>
            <w:r>
              <w:t xml:space="preserve">6,6 %</w:t>
            </w:r>
          </w:p>
        </w:tc>
      </w:tr>
      <w:tr>
        <w:tc>
          <w:tcPr>
            <w:tcW w:w="2340" w:type="dxa"/>
          </w:tcPr>
          <w:p>
            <w:pPr/>
            <w:r>
              <w:t xml:space="preserve">Sfax</w:t>
            </w:r>
          </w:p>
        </w:tc>
        <w:tc>
          <w:tcPr>
            <w:tcW w:w="2340" w:type="dxa"/>
          </w:tcPr>
          <w:p>
            <w:pPr/>
            <w:r>
              <w:t xml:space="preserve">117</w:t>
            </w:r>
          </w:p>
        </w:tc>
        <w:tc>
          <w:tcPr>
            <w:tcW w:w="2340" w:type="dxa"/>
          </w:tcPr>
          <w:p>
            <w:pPr/>
            <w:r>
              <w:t xml:space="preserve">27 656</w:t>
            </w:r>
          </w:p>
        </w:tc>
        <w:tc>
          <w:tcPr>
            <w:tcW w:w="2340" w:type="dxa"/>
          </w:tcPr>
          <w:p>
            <w:pPr/>
            <w:r>
              <w:t xml:space="preserve">3,7 %</w:t>
            </w:r>
          </w:p>
        </w:tc>
      </w:tr>
      <w:tr>
        <w:tc>
          <w:tcPr>
            <w:tcW w:w="2340" w:type="dxa"/>
          </w:tcPr>
          <w:p>
            <w:pPr/>
            <w:r>
              <w:t xml:space="preserve">Ben Arous</w:t>
            </w:r>
          </w:p>
        </w:tc>
        <w:tc>
          <w:tcPr>
            <w:tcW w:w="2340" w:type="dxa"/>
          </w:tcPr>
          <w:p>
            <w:pPr/>
            <w:r>
              <w:t xml:space="preserve">141</w:t>
            </w:r>
          </w:p>
        </w:tc>
        <w:tc>
          <w:tcPr>
            <w:tcW w:w="2340" w:type="dxa"/>
          </w:tcPr>
          <w:p>
            <w:pPr/>
            <w:r>
              <w:t xml:space="preserve">18 692</w:t>
            </w:r>
          </w:p>
        </w:tc>
        <w:tc>
          <w:tcPr>
            <w:tcW w:w="2340" w:type="dxa"/>
          </w:tcPr>
          <w:p>
            <w:pPr/>
            <w:r>
              <w:t xml:space="preserve">2,5 %</w:t>
            </w:r>
          </w:p>
        </w:tc>
      </w:tr>
      <w:tr>
        <w:tc>
          <w:tcPr>
            <w:tcW w:w="2340" w:type="dxa"/>
          </w:tcPr>
          <w:p>
            <w:pPr/>
            <w:r>
              <w:t xml:space="preserve">Nabeul</w:t>
            </w:r>
          </w:p>
        </w:tc>
        <w:tc>
          <w:tcPr>
            <w:tcW w:w="2340" w:type="dxa"/>
          </w:tcPr>
          <w:p>
            <w:pPr/>
            <w:r>
              <w:t xml:space="preserve">76</w:t>
            </w:r>
          </w:p>
        </w:tc>
        <w:tc>
          <w:tcPr>
            <w:tcW w:w="2340" w:type="dxa"/>
          </w:tcPr>
          <w:p>
            <w:pPr/>
            <w:r>
              <w:t xml:space="preserve">13 134</w:t>
            </w:r>
          </w:p>
        </w:tc>
        <w:tc>
          <w:tcPr>
            <w:tcW w:w="2340" w:type="dxa"/>
          </w:tcPr>
          <w:p>
            <w:pPr/>
            <w:r>
              <w:t xml:space="preserve">1,8 %</w:t>
            </w:r>
          </w:p>
        </w:tc>
      </w:tr>
    </w:tbl>
    <w:p>
      <w:pPr/>
      <w:r>
        <w:t xml:space="preserve">Le Grand Tunis (Tunis + Ariana + Ben Arous + La Marsa) concentre à lui seul plus du quart du CA. Le référentiel ville reste bruité (variantes de casse, fautes de frappe probables) : un nettoyage plus poussé permettrait une carte de chaleur fiable par gouvernorat.</w:t>
      </w:r>
    </w:p>
    <w:p>
      <w:pPr/>
      <w:r>
        <w:rPr>
          <w:b/>
        </w:rPr>
        <w:t xml:space="preserve">Paiement</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Mode</w:t>
            </w:r>
          </w:p>
        </w:tc>
        <w:tc>
          <w:tcPr>
            <w:tcW w:w="2340" w:type="dxa"/>
            <w:shd w:val="clear" w:color="auto" w:fill="F2F2F2"/>
          </w:tcPr>
          <w:p>
            <w:pPr/>
            <w:r>
              <w:t xml:space="preserve">Lignes</w:t>
            </w:r>
          </w:p>
        </w:tc>
        <w:tc>
          <w:tcPr>
            <w:tcW w:w="2340" w:type="dxa"/>
            <w:shd w:val="clear" w:color="auto" w:fill="F2F2F2"/>
          </w:tcPr>
          <w:p>
            <w:pPr/>
            <w:r>
              <w:t xml:space="preserve">Part</w:t>
            </w:r>
          </w:p>
        </w:tc>
        <w:tc>
          <w:tcPr>
            <w:tcW w:w="2340" w:type="dxa"/>
            <w:shd w:val="clear" w:color="auto" w:fill="F2F2F2"/>
          </w:tcPr>
          <w:p>
            <w:pPr/>
            <w:r>
              <w:t xml:space="preserve">Taux d'annulation</w:t>
            </w:r>
          </w:p>
        </w:tc>
      </w:tr>
      <w:tr>
        <w:tc>
          <w:tcPr>
            <w:tcW w:w="2340" w:type="dxa"/>
          </w:tcPr>
          <w:p>
            <w:pPr/>
            <w:r>
              <w:t xml:space="preserve">Paiement à la livraison (cash)</w:t>
            </w:r>
          </w:p>
        </w:tc>
        <w:tc>
          <w:tcPr>
            <w:tcW w:w="2340" w:type="dxa"/>
          </w:tcPr>
          <w:p>
            <w:pPr/>
            <w:r>
              <w:t xml:space="preserve">19 656</w:t>
            </w:r>
          </w:p>
        </w:tc>
        <w:tc>
          <w:tcPr>
            <w:tcW w:w="2340" w:type="dxa"/>
          </w:tcPr>
          <w:p>
            <w:pPr/>
            <w:r>
              <w:t xml:space="preserve">83,6 %</w:t>
            </w:r>
          </w:p>
        </w:tc>
        <w:tc>
          <w:tcPr>
            <w:tcW w:w="2340" w:type="dxa"/>
          </w:tcPr>
          <w:p>
            <w:pPr/>
            <w:r>
              <w:t xml:space="preserve">15,8 %</w:t>
            </w:r>
          </w:p>
        </w:tc>
      </w:tr>
      <w:tr>
        <w:tc>
          <w:tcPr>
            <w:tcW w:w="2340" w:type="dxa"/>
          </w:tcPr>
          <w:p>
            <w:pPr/>
            <w:r>
              <w:t xml:space="preserve">Chèque</w:t>
            </w:r>
          </w:p>
        </w:tc>
        <w:tc>
          <w:tcPr>
            <w:tcW w:w="2340" w:type="dxa"/>
          </w:tcPr>
          <w:p>
            <w:pPr/>
            <w:r>
              <w:t xml:space="preserve">3 866</w:t>
            </w:r>
          </w:p>
        </w:tc>
        <w:tc>
          <w:tcPr>
            <w:tcW w:w="2340" w:type="dxa"/>
          </w:tcPr>
          <w:p>
            <w:pPr/>
            <w:r>
              <w:t xml:space="preserve">16,4 %</w:t>
            </w:r>
          </w:p>
        </w:tc>
        <w:tc>
          <w:tcPr>
            <w:tcW w:w="2340" w:type="dxa"/>
          </w:tcPr>
          <w:p>
            <w:pPr/>
            <w:r>
              <w:t xml:space="preserve">17,3 %</w:t>
            </w:r>
          </w:p>
        </w:tc>
      </w:tr>
    </w:tbl>
    <w:p>
      <w:pPr/>
      <w:r>
        <w:t xml:space="preserve">Les deux modes de paiement ont un taux d'annulation proche (écart de 1,5 point, non significatif au vu des volumes) — le mode de paiement n'apparaît pas comme un facteur discriminant du risque d'annulation dans ces données.</w:t>
      </w:r>
    </w:p>
    <w:p>
      <w:pPr/>
      <w:r>
        <w:rPr>
          <w:b/>
        </w:rPr>
        <w:t xml:space="preserve">Transporteur et Origine — NON CALCULABLES</w:t>
      </w:r>
      <w:r>
        <w:t xml:space="preserve"> : </w:t>
      </w:r>
      <w:r>
        <w:rPr>
          <w:rStyle w:val="CodeChar"/>
        </w:rPr>
        <w:t xml:space="preserve">Carrier</w:t>
      </w:r>
      <w:r>
        <w:t xml:space="preserve"> = « Agrafe Tunisie » sur 100 % des lignes et </w:t>
      </w:r>
      <w:r>
        <w:rPr>
          <w:rStyle w:val="CodeChar"/>
        </w:rPr>
        <w:t xml:space="preserve">Origine</w:t>
      </w:r>
      <w:r>
        <w:t xml:space="preserve"> = « Site web » sur 100 % des lignes. Il n'y a qu'une seule valeur pour chacune de ces colonnes dans tout le fichier : aucune comparaison entre transporteurs ni entre canaux d'acquisition n'est possible avec cet export. Si Agrafe.tn utilise réellement plusieurs transporteurs ou canaux (marketplace, réseaux sociaux, click-and-collect...), il faudra vérifier que l'export PrestaShop capture bien cette donnée à la source — elle ne semble pas remontée ici.</w:t>
      </w:r>
    </w:p>
    <w:p>
      <w:pPr>
        <w:pStyle w:val="Heading2"/>
      </w:pPr>
      <w:r>
        <w:t xml:space="preserve">Annulations et opérations logistiques</w:t>
      </w:r>
    </w:p>
    <w:p>
      <w:pPr/>
      <w:r>
        <w:rPr>
          <w:b/>
        </w:rPr>
        <w:t xml:space="preserve">Annulations</w:t>
      </w:r>
      <w:r>
        <w:t xml:space="preserve"> : 659 commandes sur 4 107 (16,0 %). Panier moyen des commandes annulées : 228 TND, contre 172 TND pour les commandes livrées — les commandes annulées sont donc en moyenne 33 % plus grosses que les commandes livrées, ce qui représente une perte de CA disproportionnée par rapport au volume de commandes perdues. Délai médian avant annulation : 21 heures après la commande (moyenne 52 h, P90 = 117 h) — la grande majorité des annulations arrivent donc dans la première journée.</w:t>
      </w:r>
    </w:p>
    <w:p>
      <w:pPr/>
      <w:r>
        <w:t xml:space="preserve">Top villes en nombre d'annulations : Tunis (117), Ariana (64), Sfax (26), Ben Arous (21) — proportionnel à leur poids en volume de commandes, pas de sur-représentation évidente d'une ville particulière.</w:t>
      </w:r>
    </w:p>
    <w:p>
      <w:pPr/>
      <w:r>
        <w:rPr>
          <w:b/>
        </w:rPr>
        <w:t xml:space="preserve">NON CALCULABLES avec les données disponibles</w:t>
      </w:r>
      <w:r>
        <w:t xml:space="preserve"> : remboursements, retours et ruptures de stock — ces statuts (07 Remboursé, 18 Retournée, 22 Rupture stock) n'ont </w:t>
      </w:r>
      <w:r>
        <w:rPr>
          <w:b/>
        </w:rPr>
        <w:t xml:space="preserve">aucune occurrence</w:t>
      </w:r>
      <w:r>
        <w:t xml:space="preserve"> dans les 4 107 commandes du fichier. Soit ces événements n'existent pas sur la période (peu probable sur 14 mois d'activité), soit l'export PrestaShop ne les capture pas correctement — </w:t>
      </w:r>
      <w:r>
        <w:rPr>
          <w:b/>
        </w:rPr>
        <w:t xml:space="preserve">point à vérifier en priorité avec l'équipe technique</w:t>
      </w:r>
      <w:r>
        <w:t xml:space="preserve">, car l'absence de ces analyses est une vraie limite du rapport sur un axe que le brief identifie lui-même comme stratégique (pertes liées à la rupture de stock notamment).</w:t>
      </w:r>
    </w:p>
    <w:p>
      <w:pPr/>
      <w:r>
        <w:rPr>
          <w:b/>
        </w:rPr>
        <w:t xml:space="preserve">Délais opérationnels</w:t>
      </w:r>
      <w:r>
        <w:t xml:space="preserve"> (sur commandes où le statut est renseigné)</w:t>
      </w:r>
    </w:p>
    <w:tbl>
      <w:tblPr>
        <w:tblStyle w:val="TableGrid"/>
        <w:tblW w:w="0" w:type="auto"/>
        <w:tblLayout w:type="fixed"/>
        <w:tblLook w:val="04A0" w:firstRow="1" w:lastRow="0" w:firstColumn="0" w:lastColumn="0" w:noHBand="0" w:noVBand="1"/>
      </w:tblPr>
      <w:tblGrid>
        <w:gridCol w:w="2340"/>
        <w:gridCol w:w="2340"/>
        <w:gridCol w:w="2340"/>
        <w:gridCol w:w="2340"/>
      </w:tblGrid>
      <w:tr>
        <w:trPr>
          <w:tblHeader/>
        </w:trPr>
        <w:tc>
          <w:tcPr>
            <w:tcW w:w="2340" w:type="dxa"/>
            <w:shd w:val="clear" w:color="auto" w:fill="F2F2F2"/>
          </w:tcPr>
          <w:p>
            <w:pPr/>
            <w:r>
              <w:t xml:space="preserve">Étape</w:t>
            </w:r>
          </w:p>
        </w:tc>
        <w:tc>
          <w:tcPr>
            <w:tcW w:w="2340" w:type="dxa"/>
            <w:shd w:val="clear" w:color="auto" w:fill="F2F2F2"/>
          </w:tcPr>
          <w:p>
            <w:pPr/>
            <w:r>
              <w:t xml:space="preserve">Délai médian</w:t>
            </w:r>
          </w:p>
        </w:tc>
        <w:tc>
          <w:tcPr>
            <w:tcW w:w="2340" w:type="dxa"/>
            <w:shd w:val="clear" w:color="auto" w:fill="F2F2F2"/>
          </w:tcPr>
          <w:p>
            <w:pPr/>
            <w:r>
              <w:t xml:space="preserve">Délai moyen</w:t>
            </w:r>
          </w:p>
        </w:tc>
        <w:tc>
          <w:tcPr>
            <w:tcW w:w="2340" w:type="dxa"/>
            <w:shd w:val="clear" w:color="auto" w:fill="F2F2F2"/>
          </w:tcPr>
          <w:p>
            <w:pPr/>
            <w:r>
              <w:t xml:space="preserve">P90</w:t>
            </w:r>
          </w:p>
        </w:tc>
      </w:tr>
      <w:tr>
        <w:tc>
          <w:tcPr>
            <w:tcW w:w="2340" w:type="dxa"/>
          </w:tcPr>
          <w:p>
            <w:pPr/>
            <w:r>
              <w:t xml:space="preserve">Commande → mise en préparation</w:t>
            </w:r>
          </w:p>
        </w:tc>
        <w:tc>
          <w:tcPr>
            <w:tcW w:w="2340" w:type="dxa"/>
          </w:tcPr>
          <w:p>
            <w:pPr/>
            <w:r>
              <w:t xml:space="preserve">&lt; 1 h</w:t>
            </w:r>
          </w:p>
        </w:tc>
        <w:tc>
          <w:tcPr>
            <w:tcW w:w="2340" w:type="dxa"/>
          </w:tcPr>
          <w:p>
            <w:pPr/>
            <w:r>
              <w:t xml:space="preserve">0,3 h</w:t>
            </w:r>
          </w:p>
        </w:tc>
        <w:tc>
          <w:tcPr>
            <w:tcW w:w="2340" w:type="dxa"/>
          </w:tcPr>
          <w:p>
            <w:pPr/>
            <w:r>
              <w:t xml:space="preserve">0 h</w:t>
            </w:r>
          </w:p>
        </w:tc>
      </w:tr>
      <w:tr>
        <w:tc>
          <w:tcPr>
            <w:tcW w:w="2340" w:type="dxa"/>
          </w:tcPr>
          <w:p>
            <w:pPr/>
            <w:r>
              <w:t xml:space="preserve">Commande → livraison (délai total)</w:t>
            </w:r>
          </w:p>
        </w:tc>
        <w:tc>
          <w:tcPr>
            <w:tcW w:w="2340" w:type="dxa"/>
          </w:tcPr>
          <w:p>
            <w:pPr/>
            <w:r>
              <w:t xml:space="preserve">1,0 jour</w:t>
            </w:r>
          </w:p>
        </w:tc>
        <w:tc>
          <w:tcPr>
            <w:tcW w:w="2340" w:type="dxa"/>
          </w:tcPr>
          <w:p>
            <w:pPr/>
            <w:r>
              <w:t xml:space="preserve">1,9 jour</w:t>
            </w:r>
          </w:p>
        </w:tc>
        <w:tc>
          <w:tcPr>
            <w:tcW w:w="2340" w:type="dxa"/>
          </w:tcPr>
          <w:p>
            <w:pPr/>
            <w:r>
              <w:t xml:space="preserve">3,8 jours</w:t>
            </w:r>
          </w:p>
        </w:tc>
      </w:tr>
    </w:tbl>
    <w:p>
      <w:pPr/>
      <w:r>
        <w:t xml:space="preserve">Le délai de livraison médian d'un jour est un point fort opérationnel clair et stable dans le temps (médiane mensuelle toujours entre 0,9 et 2,7 jours sur toute la période, sans dégradation en rentrée). Ce délai n'est cependant pas croisé avec le transporteur ni avec le canal (colonnes non exploitables, voir section précédente) ; il n'a pas non plus pu être décomposé en délai de confirmation / paiement / expédition séparés, car les colonnes de statuts intermédiaires (02 Paiement accepté, 04 Expédiée, 23 Commande confirmée, 24 Préparée attente expédition) sont quasiment vides dans cet export.</w:t>
      </w:r>
    </w:p>
    <w:p>
      <w:pPr>
        <w:pStyle w:val="Heading2"/>
      </w:pPr>
      <w:r>
        <w:t xml:space="preserve">Risques et opportunités</w:t>
      </w:r>
    </w:p>
    <w:p>
      <w:pPr/>
      <w:r>
        <w:rPr>
          <w:b/>
        </w:rPr>
        <w:t xml:space="preserve">Risques (donnée → impact → indicateur à surveiller)</w:t>
      </w:r>
    </w:p>
    <w:p>
      <w:pPr>
        <w:pStyle w:val="ListParagraph"/>
        <w:numPr>
          <w:ilvl w:val="0"/>
          <w:numId w:val="6"/>
        </w:numPr>
      </w:pPr>
      <w:r>
        <w:rPr>
          <w:b/>
        </w:rPr>
        <w:t xml:space="preserve">Dépendance produit</w:t>
      </w:r>
      <w:r>
        <w:t xml:space="preserve"> : 1,9 % des références génèrent 50 % du CA, un seul produit (OMNIA A5) pèse 11,9 % du CA → une rupture fournisseur sur ce produit aurait un impact direct et immédiat sur le CA → surveiller le stock et les délais fournisseur de ce SKU en priorité.</w:t>
      </w:r>
    </w:p>
    <w:p>
      <w:pPr>
        <w:pStyle w:val="ListParagraph"/>
        <w:numPr>
          <w:ilvl w:val="0"/>
          <w:numId w:val="6"/>
        </w:numPr>
      </w:pPr>
      <w:r>
        <w:rPr>
          <w:b/>
        </w:rPr>
        <w:t xml:space="preserve">Dépendance catégorie</w:t>
      </w:r>
      <w:r>
        <w:t xml:space="preserve"> : « Rames de Papier Blanc » = 36,9 % du CA → toute variation de prix du papier (matière première mondiale volatile) affecte directement la rentabilité et le CA affiché → surveiller la marge sur cette catégorie, pas seulement le CA.</w:t>
      </w:r>
    </w:p>
    <w:p>
      <w:pPr>
        <w:pStyle w:val="ListParagraph"/>
        <w:numPr>
          <w:ilvl w:val="0"/>
          <w:numId w:val="6"/>
        </w:numPr>
      </w:pPr>
      <w:r>
        <w:rPr>
          <w:b/>
        </w:rPr>
        <w:t xml:space="preserve">Panier moyen en érosion</w:t>
      </w:r>
      <w:r>
        <w:t xml:space="preserve"> : -15,1 % en rentrée 2026 vs 2025, avec cause non identifiée (ni mix, ni remise) → si la tendance se poursuit sur le reste de l'année, la croissance du CA dépendra de plus en plus du seul volume de commandes, plus coûteux à générer → suivre le panier moyen mensuel comme KPI d'alerte précoce.</w:t>
      </w:r>
    </w:p>
    <w:p>
      <w:pPr>
        <w:pStyle w:val="ListParagraph"/>
        <w:numPr>
          <w:ilvl w:val="0"/>
          <w:numId w:val="6"/>
        </w:numPr>
      </w:pPr>
      <w:r>
        <w:rPr>
          <w:b/>
        </w:rPr>
        <w:t xml:space="preserve">Concentration client</w:t>
      </w:r>
      <w:r>
        <w:t xml:space="preserve"> : le top 10 % des clients pèse 49,6 % du CA → la perte de quelques comptes à forte valeur aurait un impact disproportionné → suivre nommément le CA des ~30 plus gros clients.</w:t>
      </w:r>
    </w:p>
    <w:p>
      <w:pPr>
        <w:pStyle w:val="ListParagraph"/>
        <w:numPr>
          <w:ilvl w:val="0"/>
          <w:numId w:val="6"/>
        </w:numPr>
      </w:pPr>
      <w:r>
        <w:rPr>
          <w:b/>
        </w:rPr>
        <w:t xml:space="preserve">Fidélisation faible</w:t>
      </w:r>
      <w:r>
        <w:t xml:space="preserve"> : 81,8 % des clients n'achètent qu'une fois → dépendance structurelle à l'acquisition continue de nouveaux clients pour maintenir le CA → suivre le taux de clients récurrents comme KPI mensuel.</w:t>
      </w:r>
    </w:p>
    <w:p>
      <w:pPr>
        <w:pStyle w:val="ListParagraph"/>
        <w:numPr>
          <w:ilvl w:val="0"/>
          <w:numId w:val="6"/>
        </w:numPr>
      </w:pPr>
      <w:r>
        <w:rPr>
          <w:b/>
        </w:rPr>
        <w:t xml:space="preserve">Annulations à fort panier</w:t>
      </w:r>
      <w:r>
        <w:t xml:space="preserve"> : les commandes annulées pèsent 33 % de plus en moyenne que les commandes livrées → le taux d'annulation de 16 % représente une perte de CA plus grande que ne le suggère le seul comptage de commandes → suivre le CA perdu en annulation, pas seulement le taux.</w:t>
      </w:r>
    </w:p>
    <w:p>
      <w:pPr>
        <w:pStyle w:val="ListParagraph"/>
        <w:numPr>
          <w:ilvl w:val="0"/>
          <w:numId w:val="6"/>
        </w:numPr>
      </w:pPr>
      <w:r>
        <w:rPr>
          <w:b/>
        </w:rPr>
        <w:t xml:space="preserve">Lacune de données opérationnelles</w:t>
      </w:r>
      <w:r>
        <w:t xml:space="preserve"> : remboursements, retours et ruptures de stock ne sont pas capturés dans l'export → impossibilité de piloter ces risques faute de données → corriger l'export ou le paramétrage PrestaShop est un prérequis avant tout pilotage fin de ces sujets.</w:t>
      </w:r>
    </w:p>
    <w:p>
      <w:pPr/>
      <w:r>
        <w:rPr>
          <w:b/>
        </w:rPr>
        <w:t xml:space="preserve">Opportunités data-driven</w:t>
      </w:r>
    </w:p>
    <w:p>
      <w:pPr>
        <w:pStyle w:val="ListParagraph"/>
        <w:numPr>
          <w:ilvl w:val="0"/>
          <w:numId w:val="7"/>
        </w:numPr>
      </w:pPr>
      <w:r>
        <w:rPr>
          <w:b/>
        </w:rPr>
        <w:t xml:space="preserve">Réactiver les clients « Inactifs »</w:t>
      </w:r>
      <w:r>
        <w:t xml:space="preserve"> : 53,7 % de la base clients, encore 40,8 % du CA cumulé — un plan de réactivation ciblé (relance email/SMS, offre de réengagement) sur ce segment a un potentiel de CA immédiat plus élevé que l'acquisition pure.</w:t>
      </w:r>
    </w:p>
    <w:p>
      <w:pPr>
        <w:pStyle w:val="ListParagraph"/>
        <w:numPr>
          <w:ilvl w:val="0"/>
          <w:numId w:val="7"/>
        </w:numPr>
      </w:pPr>
      <w:r>
        <w:rPr>
          <w:b/>
        </w:rPr>
        <w:t xml:space="preserve">Capitaliser sur la qualité d'acquisition de la rentrée</w:t>
      </w:r>
      <w:r>
        <w:t xml:space="preserve"> : la cohorte rentrée 2025 a un taux de réachat de 35,3 % (vs 17,4 % hors rentrée) → mettre en place un programme de relance dédié pour les 557 clients acquis en rentrée 2026 dans les 3 prochains mois, pendant que leur intention d'achat est encore récente.</w:t>
      </w:r>
    </w:p>
    <w:p>
      <w:pPr>
        <w:pStyle w:val="ListParagraph"/>
        <w:numPr>
          <w:ilvl w:val="0"/>
          <w:numId w:val="7"/>
        </w:numPr>
      </w:pPr>
      <w:r>
        <w:rPr>
          <w:b/>
        </w:rPr>
        <w:t xml:space="preserve">Cross-sell papier → produits complémentaires</w:t>
      </w:r>
      <w:r>
        <w:t xml:space="preserve"> : les commandes contenant du papier (rames) contiennent aussi souvent des fournitures de bureau associées (classeurs, chemises, agrafes) vu la structure multi-lignes de 57,4 % des commandes → construire des bundles ou des suggestions de panier autour du produit d'appel OMNIA A5.</w:t>
      </w:r>
    </w:p>
    <w:p>
      <w:pPr>
        <w:pStyle w:val="ListParagraph"/>
        <w:numPr>
          <w:ilvl w:val="0"/>
          <w:numId w:val="7"/>
        </w:numPr>
      </w:pPr>
      <w:r>
        <w:rPr>
          <w:b/>
        </w:rPr>
        <w:t xml:space="preserve">Fiabiliser le délai de livraison comme argument commercial</w:t>
      </w:r>
      <w:r>
        <w:t xml:space="preserve"> : délai médian d'1 jour, stable sur 14 mois → un argument de réassurance à mettre en avant sur le site et dans les communications, notamment pour réduire l'hésitation à l'achat qui alimente le taux d'annulation.</w:t>
      </w:r>
    </w:p>
    <w:p>
      <w:pPr>
        <w:pStyle w:val="ListParagraph"/>
        <w:numPr>
          <w:ilvl w:val="0"/>
          <w:numId w:val="7"/>
        </w:numPr>
      </w:pPr>
      <w:r>
        <w:rPr>
          <w:b/>
        </w:rPr>
        <w:t xml:space="preserve">Réduire l'annulation à fort panier</w:t>
      </w:r>
      <w:r>
        <w:t xml:space="preserve"> : identifier et contacter proactivement (appel de confirmation) les commandes de plus de 200 TND dans les premières heures, fenêtre où se concentre la majorité des annulations (médiane 21 h).</w:t>
      </w:r>
    </w:p>
    <w:p>
      <w:pPr/>
      <w:r>
        <w:rPr>
          <w:b/>
        </w:rPr>
        <w:t xml:space="preserve">NON CALCULABLE</w:t>
      </w:r>
      <w:r>
        <w:t xml:space="preserve"> : l'opportunité de cross-selling n'a pas pu être quantifiée par une analyse d'association statistique complète (type paires de produits co-achetées avec support/confidence) dans le temps imparti à ce rapport ; recommandé comme prochaine étape d'analyse dédiée.</w:t>
      </w:r>
    </w:p>
    <w:p>
      <w:pPr>
        <w:pStyle w:val="Heading2"/>
      </w:pPr>
      <w:r>
        <w:t xml:space="preserve">Recommandations et plan d'action</w:t>
      </w:r>
    </w:p>
    <w:p>
      <w:pPr/>
      <w:r>
        <w:rPr>
          <w:b/>
        </w:rPr>
        <w:t xml:space="preserve">0-30 jours (actions rapides)</w:t>
      </w:r>
    </w:p>
    <w:p>
      <w:pPr>
        <w:pStyle w:val="ListParagraph"/>
        <w:numPr>
          <w:ilvl w:val="0"/>
          <w:numId w:val="8"/>
        </w:numPr>
      </w:pPr>
      <w:r>
        <w:t xml:space="preserve">Corriger/vérifier la remontée des statuts remboursement, retour et rupture de stock dans l'export PrestaShop — prérequis pour piloter ces risques (problème : donnée absente ; action : audit technique du paramétrage des statuts ; KPI : ces statuts apparaissent dans le prochain export).</w:t>
      </w:r>
    </w:p>
    <w:p>
      <w:pPr>
        <w:pStyle w:val="ListParagraph"/>
        <w:numPr>
          <w:ilvl w:val="0"/>
          <w:numId w:val="8"/>
        </w:numPr>
      </w:pPr>
      <w:r>
        <w:t xml:space="preserve">Mettre en place un appel/SMS de confirmation systématique sur les commandes &gt; 200 TND dans les 24h suivant la commande (problème : 16 % d'annulation, concentrée sur les gros paniers et dans les 21 premières heures ; KPI : taux d'annulation des commandes &gt;200 TND avant/après).</w:t>
      </w:r>
    </w:p>
    <w:p>
      <w:pPr>
        <w:pStyle w:val="ListParagraph"/>
        <w:numPr>
          <w:ilvl w:val="0"/>
          <w:numId w:val="8"/>
        </w:numPr>
      </w:pPr>
      <w:r>
        <w:t xml:space="preserve">Lancer une campagne de réactivation ciblée sur le segment « Inactifs » (1 585 clients, 40,8 % du CA cumulé) — problème : valeur dormante ; action : email/SMS avec offre de réengagement ; KPI : taux de réactivation à 30 jours.</w:t>
      </w:r>
    </w:p>
    <w:p>
      <w:pPr/>
      <w:r>
        <w:rPr>
          <w:b/>
        </w:rPr>
        <w:t xml:space="preserve">31-60 jours (actions commerciales / CRM)</w:t>
      </w:r>
    </w:p>
    <w:p>
      <w:pPr>
        <w:pStyle w:val="ListParagraph"/>
        <w:numPr>
          <w:ilvl w:val="0"/>
          <w:numId w:val="9"/>
        </w:numPr>
      </w:pPr>
      <w:r>
        <w:t xml:space="preserve">Construire un programme de relance dédié aux 557 clients acquis pendant la rentrée 2026, sur le modèle du comportement observé chez la cohorte 2025 (35,3 % de réachat) — problème : fenêtre de fidélisation qui se referme ; KPI : taux de réachat à J+90 de cette cohorte vs cohorte rentrée 2025 au même horizon.</w:t>
      </w:r>
    </w:p>
    <w:p>
      <w:pPr>
        <w:pStyle w:val="ListParagraph"/>
        <w:numPr>
          <w:ilvl w:val="0"/>
          <w:numId w:val="9"/>
        </w:numPr>
      </w:pPr>
      <w:r>
        <w:t xml:space="preserve">Tester des bundles produits autour du best-seller OMNIA A5 (papier + fournitures associées) — problème : 57 % des commandes sont déjà multi-produits, opportunité de cross-sell non structurée ; KPI : panier moyen des commandes contenant OMNIA A5.</w:t>
      </w:r>
    </w:p>
    <w:p>
      <w:pPr>
        <w:pStyle w:val="ListParagraph"/>
        <w:numPr>
          <w:ilvl w:val="0"/>
          <w:numId w:val="9"/>
        </w:numPr>
      </w:pPr>
      <w:r>
        <w:t xml:space="preserve">Mettre en avant le délai de livraison d'1 jour comme argument de réassurance sur les pages produit et au tunnel de commande — KPI : taux d'annulation avant/après affichage.</w:t>
      </w:r>
    </w:p>
    <w:p>
      <w:pPr/>
      <w:r>
        <w:rPr>
          <w:b/>
        </w:rPr>
        <w:t xml:space="preserve">61-90 jours (actions structurantes)</w:t>
      </w:r>
    </w:p>
    <w:p>
      <w:pPr>
        <w:pStyle w:val="ListParagraph"/>
        <w:numPr>
          <w:ilvl w:val="0"/>
          <w:numId w:val="10"/>
        </w:numPr>
      </w:pPr>
      <w:r>
        <w:t xml:space="preserve">Nettoyer le référentiel « Delivery City » (1 048 valeurs brutes pour ~200 villes réelles) pour permettre un pilotage géographique fiable — problème : donnée actuellement bruitée ; action : liste de villes normalisée avec validation à la saisie.</w:t>
      </w:r>
    </w:p>
    <w:p>
      <w:pPr>
        <w:pStyle w:val="ListParagraph"/>
        <w:numPr>
          <w:ilvl w:val="0"/>
          <w:numId w:val="10"/>
        </w:numPr>
      </w:pPr>
      <w:r>
        <w:t xml:space="preserve">Vérifier et, si besoin, enrichir la capture des colonnes Origine et Carrier si Agrafe.tn utilise réellement plusieurs canaux/transporteurs — sans cette donnée, deux axes du brief restent aveugles.</w:t>
      </w:r>
    </w:p>
    <w:p>
      <w:pPr>
        <w:pStyle w:val="ListParagraph"/>
        <w:numPr>
          <w:ilvl w:val="0"/>
          <w:numId w:val="10"/>
        </w:numPr>
      </w:pPr>
      <w:r>
        <w:t xml:space="preserve">Construire un tableau de bord de suivi continu (voir section Dashboard) plutôt qu'un rapport ponctuel, pour suivre en continu panier moyen, taux d'annulation et taux de clients récurrents — les trois KPI d'alerte identifiés dans ce rapport.</w:t>
      </w:r>
    </w:p>
    <w:p>
      <w:pPr/>
      <w:r>
        <w:t xml:space="preserve">Ces actions découlent directement des observations ci-dessus ; aucune n'est une recommandation générique — chacune répond à un chiffre spécifique observé dans les données d'Agrafe.tn.</w:t>
      </w:r>
    </w:p>
    <w:p>
      <w:pPr>
        <w:pStyle w:val="Heading2"/>
      </w:pPr>
      <w:r>
        <w:t xml:space="preserve">Prévision octobre-décembre 2026</w:t>
      </w:r>
    </w:p>
    <w:p>
      <w:pPr/>
      <w:r>
        <w:rPr>
          <w:b/>
        </w:rPr>
        <w:t xml:space="preserve">Méthode</w:t>
      </w:r>
      <w:r>
        <w:t xml:space="preserve"> : un seul historique octobre-décembre est disponible (2025 : 1 029 commandes, 180 398 TND de CA). La méthode saisonnière classique (comparer plusieurs années à même mois) n'est pas applicable — </w:t>
      </w:r>
      <w:r>
        <w:rPr>
          <w:b/>
        </w:rPr>
        <w:t xml:space="preserve">seule une approche combinée historique + tendance</w:t>
      </w:r>
      <w:r>
        <w:t xml:space="preserve"> est utilisée ici, en appliquant à la base Oct-Déc 2025 les taux de croissance YoY observés sur la seule période comparable disponible (rentrée 2026 : +10,1 % de CA, +29,7 % de commandes). </w:t>
      </w:r>
      <w:r>
        <w:rPr>
          <w:b/>
        </w:rPr>
        <w:t xml:space="preserve">Ce n'est pas une certitude</w:t>
      </w:r>
      <w:r>
        <w:t xml:space="preserve"> : rien ne garantit que la dynamique de rentrée se prolonge à l'identique sur le T4, d'autant que le panier moyen y était en repli inexpliqué.</w:t>
      </w:r>
    </w:p>
    <w:tbl>
      <w:tblPr>
        <w:tblStyle w:val="TableGrid"/>
        <w:tblW w:w="0" w:type="auto"/>
        <w:tblLayout w:type="fixed"/>
        <w:tblLook w:val="04A0" w:firstRow="1" w:lastRow="0" w:firstColumn="0" w:lastColumn="0" w:noHBand="0" w:noVBand="1"/>
      </w:tblPr>
      <w:tblGrid>
        <w:gridCol w:w="1872"/>
        <w:gridCol w:w="1872"/>
        <w:gridCol w:w="1872"/>
        <w:gridCol w:w="1872"/>
        <w:gridCol w:w="1872"/>
      </w:tblGrid>
      <w:tr>
        <w:trPr>
          <w:tblHeader/>
        </w:trPr>
        <w:tc>
          <w:tcPr>
            <w:tcW w:w="1872" w:type="dxa"/>
            <w:shd w:val="clear" w:color="auto" w:fill="F2F2F2"/>
          </w:tcPr>
          <w:p>
            <w:pPr/>
            <w:r>
              <w:t xml:space="preserve">Scénario</w:t>
            </w:r>
          </w:p>
        </w:tc>
        <w:tc>
          <w:tcPr>
            <w:tcW w:w="1872" w:type="dxa"/>
            <w:shd w:val="clear" w:color="auto" w:fill="F2F2F2"/>
          </w:tcPr>
          <w:p>
            <w:pPr/>
            <w:r>
              <w:t xml:space="preserve">Hypothèse</w:t>
            </w:r>
          </w:p>
        </w:tc>
        <w:tc>
          <w:tcPr>
            <w:tcW w:w="1872" w:type="dxa"/>
            <w:shd w:val="clear" w:color="auto" w:fill="F2F2F2"/>
          </w:tcPr>
          <w:p>
            <w:pPr/>
            <w:r>
              <w:t xml:space="preserve">CA Oct-Déc (TND)</w:t>
            </w:r>
          </w:p>
        </w:tc>
        <w:tc>
          <w:tcPr>
            <w:tcW w:w="1872" w:type="dxa"/>
            <w:shd w:val="clear" w:color="auto" w:fill="F2F2F2"/>
          </w:tcPr>
          <w:p>
            <w:pPr/>
            <w:r>
              <w:t xml:space="preserve">Commandes</w:t>
            </w:r>
          </w:p>
        </w:tc>
        <w:tc>
          <w:tcPr>
            <w:tcW w:w="1872" w:type="dxa"/>
            <w:shd w:val="clear" w:color="auto" w:fill="F2F2F2"/>
          </w:tcPr>
          <w:p>
            <w:pPr/>
            <w:r>
              <w:t xml:space="preserve">Panier moyen</w:t>
            </w:r>
          </w:p>
        </w:tc>
      </w:tr>
      <w:tr>
        <w:tc>
          <w:tcPr>
            <w:tcW w:w="1872" w:type="dxa"/>
          </w:tcPr>
          <w:p>
            <w:pPr/>
            <w:r>
              <w:t xml:space="preserve">Prudent</w:t>
            </w:r>
          </w:p>
        </w:tc>
        <w:tc>
          <w:tcPr>
            <w:tcW w:w="1872" w:type="dxa"/>
          </w:tcPr>
          <w:p>
            <w:pPr/>
            <w:r>
              <w:t xml:space="preserve">Le repli du panier moyen persiste et pèse davantage que la croissance des commandes ; croissance de CA quasi nulle vs 2025</w:t>
            </w:r>
          </w:p>
        </w:tc>
        <w:tc>
          <w:tcPr>
            <w:tcW w:w="1872" w:type="dxa"/>
          </w:tcPr>
          <w:p>
            <w:pPr/>
            <w:r>
              <w:t xml:space="preserve">~171 400</w:t>
            </w:r>
          </w:p>
        </w:tc>
        <w:tc>
          <w:tcPr>
            <w:tcW w:w="1872" w:type="dxa"/>
          </w:tcPr>
          <w:p>
            <w:pPr/>
            <w:r>
              <w:t xml:space="preserve">~1 080</w:t>
            </w:r>
          </w:p>
        </w:tc>
        <w:tc>
          <w:tcPr>
            <w:tcW w:w="1872" w:type="dxa"/>
          </w:tcPr>
          <w:p>
            <w:pPr/>
            <w:r>
              <w:t xml:space="preserve">~159 TND</w:t>
            </w:r>
          </w:p>
        </w:tc>
      </w:tr>
      <w:tr>
        <w:tc>
          <w:tcPr>
            <w:tcW w:w="1872" w:type="dxa"/>
          </w:tcPr>
          <w:p>
            <w:pPr/>
            <w:r>
              <w:t xml:space="preserve">Central</w:t>
            </w:r>
          </w:p>
        </w:tc>
        <w:tc>
          <w:tcPr>
            <w:tcW w:w="1872" w:type="dxa"/>
          </w:tcPr>
          <w:p>
            <w:pPr/>
            <w:r>
              <w:t xml:space="preserve">Prolongation des taux observés en rentrée 2026 (+10 % CA, +30 % commandes)</w:t>
            </w:r>
          </w:p>
        </w:tc>
        <w:tc>
          <w:tcPr>
            <w:tcW w:w="1872" w:type="dxa"/>
          </w:tcPr>
          <w:p>
            <w:pPr/>
            <w:r>
              <w:t xml:space="preserve">~198 400</w:t>
            </w:r>
          </w:p>
        </w:tc>
        <w:tc>
          <w:tcPr>
            <w:tcW w:w="1872" w:type="dxa"/>
          </w:tcPr>
          <w:p>
            <w:pPr/>
            <w:r>
              <w:t xml:space="preserve">~1 340</w:t>
            </w:r>
          </w:p>
        </w:tc>
        <w:tc>
          <w:tcPr>
            <w:tcW w:w="1872" w:type="dxa"/>
          </w:tcPr>
          <w:p>
            <w:pPr/>
            <w:r>
              <w:t xml:space="preserve">~148 TND</w:t>
            </w:r>
          </w:p>
        </w:tc>
      </w:tr>
      <w:tr>
        <w:tc>
          <w:tcPr>
            <w:tcW w:w="1872" w:type="dxa"/>
          </w:tcPr>
          <w:p>
            <w:pPr/>
            <w:r>
              <w:t xml:space="preserve">Croissance</w:t>
            </w:r>
          </w:p>
        </w:tc>
        <w:tc>
          <w:tcPr>
            <w:tcW w:w="1872" w:type="dxa"/>
          </w:tcPr>
          <w:p>
            <w:pPr/>
            <w:r>
              <w:t xml:space="preserve">Le rythme d'acquisition de commandes continue de s'accélérer et le panier moyen se stabilise autour de 150 TND</w:t>
            </w:r>
          </w:p>
        </w:tc>
        <w:tc>
          <w:tcPr>
            <w:tcW w:w="1872" w:type="dxa"/>
          </w:tcPr>
          <w:p>
            <w:pPr/>
            <w:r>
              <w:t xml:space="preserve">~225 500</w:t>
            </w:r>
          </w:p>
        </w:tc>
        <w:tc>
          <w:tcPr>
            <w:tcW w:w="1872" w:type="dxa"/>
          </w:tcPr>
          <w:p>
            <w:pPr/>
            <w:r>
              <w:t xml:space="preserve">~1 490</w:t>
            </w:r>
          </w:p>
        </w:tc>
        <w:tc>
          <w:tcPr>
            <w:tcW w:w="1872" w:type="dxa"/>
          </w:tcPr>
          <w:p>
            <w:pPr/>
            <w:r>
              <w:t xml:space="preserve">~151 TND</w:t>
            </w:r>
          </w:p>
        </w:tc>
      </w:tr>
    </w:tbl>
    <w:p>
      <w:pPr/>
      <w:r>
        <w:t xml:space="preserve">Dans les trois scénarios, la croissance vient du </w:t>
      </w:r>
      <w:r>
        <w:rPr>
          <w:b/>
        </w:rPr>
        <w:t xml:space="preserve">volume de commandes</w:t>
      </w:r>
      <w:r>
        <w:t xml:space="preserve">, pas du panier moyen — cohérent avec la dynamique observée depuis le début 2026. Le scénario central table sur un CA T4 2026 autour de 198 000 TND, soit environ 27 % de plus que le T4 2025.</w:t>
      </w:r>
    </w:p>
    <w:p>
      <w:pPr/>
      <w:r>
        <w:rPr>
          <w:b/>
        </w:rPr>
        <w:t xml:space="preserve">Forecast par catégorie — NON CALCULABLE avec les données disponibles</w:t>
      </w:r>
      <w:r>
        <w:t xml:space="preserve"> : établir des prévisions fiables par catégorie demande un historique d'au moins 2 à 3 cycles annuels par catégorie ; avec 14 mois de données, seule la catégorie « Rames de Papier Blanc » a un volume suffisant pour une projection individuelle, et son poids stable (19-37 % du CA selon la période) suggère qu'elle continuera de porter une part similaire du CA du T4.</w:t>
      </w:r>
    </w:p>
    <w:p>
      <w:pPr>
        <w:pStyle w:val="Heading2"/>
      </w:pPr>
      <w:r>
        <w:t xml:space="preserve">Ce que la direction doit savoir</w:t>
      </w:r>
    </w:p>
    <w:p>
      <w:pPr/>
      <w:r>
        <w:rPr>
          <w:b/>
        </w:rPr>
        <w:t xml:space="preserve">Ce qui va bien</w:t>
      </w:r>
    </w:p>
    <w:p>
      <w:pPr>
        <w:pStyle w:val="ListParagraph"/>
        <w:numPr>
          <w:ilvl w:val="0"/>
          <w:numId w:val="11"/>
        </w:numPr>
      </w:pPr>
      <w:r>
        <w:t xml:space="preserve">La rentrée 2026 progresse en CA (+10,1 %) et surtout en volume de commandes (+29,7 %) et en base clients (+36,8 %) par rapport à 2025.</w:t>
      </w:r>
    </w:p>
    <w:p>
      <w:pPr>
        <w:pStyle w:val="ListParagraph"/>
        <w:numPr>
          <w:ilvl w:val="0"/>
          <w:numId w:val="11"/>
        </w:numPr>
      </w:pPr>
      <w:r>
        <w:t xml:space="preserve">Le délai de livraison est excellent et stable (médiane 1 jour) depuis 14 mois.</w:t>
      </w:r>
    </w:p>
    <w:p>
      <w:pPr>
        <w:pStyle w:val="ListParagraph"/>
        <w:numPr>
          <w:ilvl w:val="0"/>
          <w:numId w:val="11"/>
        </w:numPr>
      </w:pPr>
      <w:r>
        <w:t xml:space="preserve">Les remises ne dégradent pas la rentabilité perçue : elles sont associées à un panier légèrement plus élevé et à deux fois moins d'annulations.</w:t>
      </w:r>
    </w:p>
    <w:p>
      <w:pPr>
        <w:pStyle w:val="ListParagraph"/>
        <w:numPr>
          <w:ilvl w:val="0"/>
          <w:numId w:val="11"/>
        </w:numPr>
      </w:pPr>
      <w:r>
        <w:t xml:space="preserve">Les clients acquis en rentrée reviennent mieux que la moyenne (35,3 % de réachat pour la cohorte 2025).</w:t>
      </w:r>
    </w:p>
    <w:p>
      <w:pPr/>
      <w:r>
        <w:rPr>
          <w:b/>
        </w:rPr>
        <w:t xml:space="preserve">Ce qui change</w:t>
      </w:r>
    </w:p>
    <w:p>
      <w:pPr>
        <w:pStyle w:val="ListParagraph"/>
        <w:numPr>
          <w:ilvl w:val="0"/>
          <w:numId w:val="12"/>
        </w:numPr>
      </w:pPr>
      <w:r>
        <w:t xml:space="preserve">Le panier moyen recule de 15 % en rentrée 2026 vs 2025, sans explication par le mix produit ou les remises — la croissance actuelle repose presque entièrement sur le volume de commandes.</w:t>
      </w:r>
    </w:p>
    <w:p>
      <w:pPr>
        <w:pStyle w:val="ListParagraph"/>
        <w:numPr>
          <w:ilvl w:val="0"/>
          <w:numId w:val="12"/>
        </w:numPr>
      </w:pPr>
      <w:r>
        <w:t xml:space="preserve">La base clients grossit plus vite que les commandes, ce qui traduit une fréquence d'achat par client en léger repli.</w:t>
      </w:r>
    </w:p>
    <w:p>
      <w:pPr/>
      <w:r>
        <w:rPr>
          <w:b/>
        </w:rPr>
        <w:t xml:space="preserve">Ce qui préoccupe</w:t>
      </w:r>
    </w:p>
    <w:p>
      <w:pPr>
        <w:pStyle w:val="ListParagraph"/>
        <w:numPr>
          <w:ilvl w:val="0"/>
          <w:numId w:val="13"/>
        </w:numPr>
      </w:pPr>
      <w:r>
        <w:t xml:space="preserve">Concentration extrême du CA sur un nombre restreint de références (1,9 % des produits = 50 % du CA) et sur une seule catégorie (papier, 36,9 % du CA).</w:t>
      </w:r>
    </w:p>
    <w:p>
      <w:pPr>
        <w:pStyle w:val="ListParagraph"/>
        <w:numPr>
          <w:ilvl w:val="0"/>
          <w:numId w:val="13"/>
        </w:numPr>
      </w:pPr>
      <w:r>
        <w:t xml:space="preserve">16 % de taux d'annulation, avec des commandes annulées 33 % plus grosses en moyenne que les commandes livrées.</w:t>
      </w:r>
    </w:p>
    <w:p>
      <w:pPr>
        <w:pStyle w:val="ListParagraph"/>
        <w:numPr>
          <w:ilvl w:val="0"/>
          <w:numId w:val="13"/>
        </w:numPr>
      </w:pPr>
      <w:r>
        <w:t xml:space="preserve">Absence totale de données sur les remboursements, retours et ruptures de stock dans l'export — un angle mort opérationnel à corriger en priorité.</w:t>
      </w:r>
    </w:p>
    <w:p>
      <w:pPr/>
      <w:r>
        <w:rPr>
          <w:b/>
        </w:rPr>
        <w:t xml:space="preserve">Ce qui peut être exploité</w:t>
      </w:r>
    </w:p>
    <w:p>
      <w:pPr>
        <w:pStyle w:val="ListParagraph"/>
        <w:numPr>
          <w:ilvl w:val="0"/>
          <w:numId w:val="14"/>
        </w:numPr>
      </w:pPr>
      <w:r>
        <w:t xml:space="preserve">40,8 % du CA cumulé dort dans un segment de 1 585 clients inactifs, à réactiver avant d'investir davantage en acquisition.</w:t>
      </w:r>
    </w:p>
    <w:p>
      <w:pPr>
        <w:pStyle w:val="ListParagraph"/>
        <w:numPr>
          <w:ilvl w:val="0"/>
          <w:numId w:val="14"/>
        </w:numPr>
      </w:pPr>
      <w:r>
        <w:t xml:space="preserve">Potentiel de cross-sell autour du produit d'appel (OMNIA A5, 11,9 % du CA à lui seul) sur des commandes déjà majoritairement multi-produits.</w:t>
      </w:r>
    </w:p>
    <w:p>
      <w:pPr/>
      <w:r>
        <w:rPr>
          <w:b/>
        </w:rPr>
        <w:t xml:space="preserve">Ce qu'il faut surveiller</w:t>
      </w:r>
    </w:p>
    <w:p>
      <w:pPr>
        <w:pStyle w:val="ListParagraph"/>
        <w:numPr>
          <w:ilvl w:val="0"/>
          <w:numId w:val="15"/>
        </w:numPr>
      </w:pPr>
      <w:r>
        <w:t xml:space="preserve">Panier moyen mensuel (signal d'alerte précoce sur la rentabilité de la croissance).</w:t>
      </w:r>
    </w:p>
    <w:p>
      <w:pPr>
        <w:pStyle w:val="ListParagraph"/>
        <w:numPr>
          <w:ilvl w:val="0"/>
          <w:numId w:val="15"/>
        </w:numPr>
      </w:pPr>
      <w:r>
        <w:t xml:space="preserve">Taux de clients récurrents et taux de réachat de la cohorte rentrée 2026 à J+90.</w:t>
      </w:r>
    </w:p>
    <w:p>
      <w:pPr>
        <w:pStyle w:val="ListParagraph"/>
        <w:numPr>
          <w:ilvl w:val="0"/>
          <w:numId w:val="15"/>
        </w:numPr>
      </w:pPr>
      <w:r>
        <w:t xml:space="preserve">CA perdu en annulation (pas seulement le taux de commandes annulées).</w:t>
      </w:r>
    </w:p>
    <w:p>
      <w:pPr/>
      <w:r>
        <w:rPr>
          <w:b/>
        </w:rPr>
        <w:t xml:space="preserve">Ce qu'il faut préparer pour octobre-décembre</w:t>
      </w:r>
    </w:p>
    <w:p>
      <w:pPr>
        <w:pStyle w:val="ListParagraph"/>
        <w:numPr>
          <w:ilvl w:val="0"/>
          <w:numId w:val="16"/>
        </w:numPr>
      </w:pPr>
      <w:r>
        <w:t xml:space="preserve">Sur la base du scénario central, un CA T4 2026 de l'ordre de 198 000 TND est raisonnable (+27 % vs T4 2025), porté par le volume plutôt que par le panier — anticiper la capacité de traitement des commandes en conséquence plutôt que de miser sur une hausse de la valeur moyenne du panier.</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1"/>
    <w:lvlOverride w:ilvl="0">
      <w:startOverride w:val="1"/>
    </w:lvlOverride>
  </w:num>
  <w:num w:numId="3">
    <w:abstractNumId w:val="0"/>
  </w:num>
  <w:num w:numId="4">
    <w:abstractNumId w:val="0"/>
  </w:num>
  <w:num w:numId="5">
    <w:abstractNumId w:val="0"/>
  </w:num>
  <w:num w:numId="6">
    <w:abstractNumId w:val="1"/>
    <w:lvlOverride w:ilvl="0">
      <w:startOverride w:val="1"/>
    </w:lvlOverride>
  </w:num>
  <w:num w:numId="7">
    <w:abstractNumId w:val="1"/>
    <w:lvlOverride w:ilvl="0">
      <w:startOverride w:val="1"/>
    </w:lvlOverride>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Audit BI &amp; Consulting E-commerce — Agrafe.tn</dc:title>
  <dc:description>Claude Docs node/dec8d161-1749@16 docx-w6</dc:description>
  <cp:revision>16</cp:revision>
</cp:coreProperties>
</file>